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23" w:lineRule="auto"/>
        <w:rPr>
          <w:rFonts w:hint="eastAsia" w:ascii="黑体" w:hAnsi="黑体" w:eastAsia="黑体" w:cs="方正黑体_GBK"/>
          <w:color w:val="000000"/>
          <w:sz w:val="28"/>
        </w:rPr>
      </w:pPr>
      <w:r>
        <w:rPr>
          <w:rFonts w:hint="eastAsia" w:ascii="黑体" w:hAnsi="黑体" w:eastAsia="黑体" w:cs="方正黑体_GBK"/>
          <w:bCs/>
          <w:color w:val="000000"/>
          <w:spacing w:val="-13"/>
          <w:sz w:val="28"/>
        </w:rPr>
        <w:t>附件2</w:t>
      </w:r>
    </w:p>
    <w:p>
      <w:pPr>
        <w:spacing w:before="184" w:line="219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“渔政亮剑2023”力量投入调度汇总表</w:t>
      </w:r>
    </w:p>
    <w:p>
      <w:pPr>
        <w:spacing w:line="312" w:lineRule="auto"/>
        <w:rPr>
          <w:rFonts w:ascii="Arial"/>
          <w:color w:val="000000"/>
        </w:rPr>
      </w:pPr>
    </w:p>
    <w:p>
      <w:pPr>
        <w:spacing w:line="312" w:lineRule="auto"/>
        <w:rPr>
          <w:rFonts w:hint="eastAsia" w:ascii="Arial"/>
          <w:color w:val="000000"/>
        </w:rPr>
      </w:pPr>
      <w:r>
        <w:rPr>
          <w:rFonts w:hint="eastAsia" w:ascii="Arial"/>
          <w:color w:val="000000"/>
        </w:rPr>
        <w:t>填报单位（盖章）：                                   填报时间：</w:t>
      </w:r>
    </w:p>
    <w:p>
      <w:pPr>
        <w:spacing w:line="312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pacing w:val="-1"/>
          <w:position w:val="1"/>
          <w:szCs w:val="21"/>
        </w:rPr>
        <w:t>填</w:t>
      </w:r>
      <w:r>
        <w:rPr>
          <w:rFonts w:ascii="宋体" w:hAnsi="宋体" w:cs="宋体"/>
          <w:color w:val="000000"/>
          <w:spacing w:val="-50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报</w:t>
      </w:r>
      <w:r>
        <w:rPr>
          <w:rFonts w:ascii="宋体" w:hAnsi="宋体" w:cs="宋体"/>
          <w:color w:val="000000"/>
          <w:spacing w:val="-47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人</w:t>
      </w:r>
      <w:r>
        <w:rPr>
          <w:rFonts w:ascii="宋体" w:hAnsi="宋体" w:cs="宋体"/>
          <w:color w:val="000000"/>
          <w:spacing w:val="-28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：</w:t>
      </w:r>
      <w:r>
        <w:rPr>
          <w:rFonts w:ascii="宋体" w:hAnsi="宋体" w:cs="宋体"/>
          <w:color w:val="000000"/>
          <w:spacing w:val="6"/>
          <w:position w:val="1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spacing w:val="6"/>
          <w:position w:val="1"/>
          <w:szCs w:val="21"/>
        </w:rPr>
        <w:t xml:space="preserve">                         </w:t>
      </w:r>
      <w:r>
        <w:rPr>
          <w:rFonts w:ascii="宋体" w:hAnsi="宋体" w:cs="宋体"/>
          <w:color w:val="000000"/>
          <w:spacing w:val="-1"/>
          <w:szCs w:val="21"/>
        </w:rPr>
        <w:t>联系方式(手机):</w:t>
      </w:r>
    </w:p>
    <w:p>
      <w:pPr>
        <w:spacing w:line="21" w:lineRule="exact"/>
        <w:rPr>
          <w:color w:val="000000"/>
        </w:rPr>
      </w:pPr>
    </w:p>
    <w:tbl>
      <w:tblPr>
        <w:tblStyle w:val="3"/>
        <w:tblpPr w:leftFromText="180" w:rightFromText="180" w:vertAnchor="text" w:horzAnchor="page" w:tblpX="1211" w:tblpY="48"/>
        <w:tblOverlap w:val="never"/>
        <w:tblW w:w="939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759"/>
        <w:gridCol w:w="6080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989" w:type="dxa"/>
            <w:gridSpan w:val="3"/>
            <w:noWrap w:val="0"/>
            <w:vAlign w:val="center"/>
          </w:tcPr>
          <w:p>
            <w:pPr>
              <w:spacing w:before="64" w:line="220" w:lineRule="auto"/>
              <w:ind w:left="3404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调度项目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="60" w:line="219" w:lineRule="auto"/>
              <w:ind w:left="25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4"/>
                <w:szCs w:val="21"/>
              </w:rPr>
              <w:t>执法数据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53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line="254" w:lineRule="auto"/>
              <w:rPr>
                <w:rFonts w:ascii="Arial"/>
                <w:color w:val="000000"/>
              </w:rPr>
            </w:pPr>
          </w:p>
          <w:p>
            <w:pPr>
              <w:spacing w:before="68" w:line="219" w:lineRule="auto"/>
              <w:ind w:left="114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执法宣传</w:t>
            </w:r>
          </w:p>
        </w:tc>
        <w:tc>
          <w:tcPr>
            <w:tcW w:w="6839" w:type="dxa"/>
            <w:gridSpan w:val="2"/>
            <w:noWrap w:val="0"/>
            <w:vAlign w:val="center"/>
          </w:tcPr>
          <w:p>
            <w:pPr>
              <w:spacing w:before="57" w:line="219" w:lineRule="auto"/>
              <w:ind w:left="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*印发宣传材料(份)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="59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7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7"/>
                <w:szCs w:val="21"/>
              </w:rPr>
              <w:t>流</w:t>
            </w:r>
            <w:r>
              <w:rPr>
                <w:rFonts w:ascii="宋体" w:hAnsi="宋体" w:cs="宋体"/>
                <w:color w:val="000000"/>
                <w:spacing w:val="7"/>
                <w:szCs w:val="21"/>
              </w:rPr>
              <w:t>域禁渔专项行动(份)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0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严厉打击破坏水生野生动物资源专项行动(份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0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"/>
                <w:szCs w:val="21"/>
              </w:rPr>
              <w:t>清理取缔涉渔“三无”船舶和“绝户网”专项执法行动(份)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0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7"/>
                <w:szCs w:val="21"/>
              </w:rPr>
              <w:t>重拳打击电鱼行为专项行动(份)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0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规范使用水产养殖用投入品专项行动(份)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839" w:type="dxa"/>
            <w:gridSpan w:val="2"/>
            <w:noWrap w:val="0"/>
            <w:vAlign w:val="center"/>
          </w:tcPr>
          <w:p>
            <w:pPr>
              <w:spacing w:before="61" w:line="219" w:lineRule="auto"/>
              <w:ind w:left="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*组织开展集中公开拆解销毁活动(场次)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22" w:line="220" w:lineRule="auto"/>
              <w:ind w:left="1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1"/>
                <w:szCs w:val="21"/>
              </w:rPr>
              <w:t>其中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="51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清理取缔涉渔“三无”船舶(场次)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1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9"/>
                <w:szCs w:val="21"/>
              </w:rPr>
              <w:t>违规渔具渔法清理整治(场次)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839" w:type="dxa"/>
            <w:gridSpan w:val="2"/>
            <w:noWrap w:val="0"/>
            <w:vAlign w:val="center"/>
          </w:tcPr>
          <w:p>
            <w:pPr>
              <w:spacing w:before="61" w:line="219" w:lineRule="auto"/>
              <w:ind w:left="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*媒体宣传(次)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23" w:lineRule="auto"/>
              <w:rPr>
                <w:rFonts w:ascii="Arial"/>
                <w:color w:val="000000"/>
              </w:rPr>
            </w:pPr>
          </w:p>
          <w:p>
            <w:pPr>
              <w:spacing w:before="68" w:line="220" w:lineRule="auto"/>
              <w:ind w:left="1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1"/>
                <w:szCs w:val="21"/>
              </w:rPr>
              <w:t>其中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1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1"/>
                <w:szCs w:val="21"/>
              </w:rPr>
              <w:t>中央媒体宣传(次数)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1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3"/>
                <w:szCs w:val="21"/>
              </w:rPr>
              <w:t>省部级媒体宣传(次数)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52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4"/>
                <w:szCs w:val="21"/>
              </w:rPr>
              <w:t>新媒体宣传(次数)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before="68" w:line="219" w:lineRule="auto"/>
              <w:ind w:left="114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执法力量</w:t>
            </w:r>
          </w:p>
        </w:tc>
        <w:tc>
          <w:tcPr>
            <w:tcW w:w="6839" w:type="dxa"/>
            <w:gridSpan w:val="2"/>
            <w:noWrap w:val="0"/>
            <w:vAlign w:val="center"/>
          </w:tcPr>
          <w:p>
            <w:pPr>
              <w:spacing w:before="63" w:line="219" w:lineRule="auto"/>
              <w:ind w:left="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*出动执法人员(人次)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5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域禁渔专项行动(人次)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55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严厉打击破坏水生野生动物资源专项行动(人次)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5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规范使用水产养殖用投入品专项行动(人次)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839" w:type="dxa"/>
            <w:gridSpan w:val="2"/>
            <w:noWrap w:val="0"/>
            <w:vAlign w:val="center"/>
          </w:tcPr>
          <w:p>
            <w:pPr>
              <w:spacing w:before="65" w:line="219" w:lineRule="auto"/>
              <w:ind w:left="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*出动执法车辆(辆次)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7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禁渔专项行动(辆次)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57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严厉打击破坏水生野生动物资源专项行动(辆次)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7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规范使用水产养殖用投入品专项行动(辆次)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6839" w:type="dxa"/>
            <w:gridSpan w:val="2"/>
            <w:noWrap w:val="0"/>
            <w:vAlign w:val="center"/>
          </w:tcPr>
          <w:p>
            <w:pPr>
              <w:spacing w:before="57" w:line="219" w:lineRule="auto"/>
              <w:ind w:left="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*出动执法船艇(艘次)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759" w:type="dxa"/>
            <w:tcBorders>
              <w:top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其中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="68" w:line="219" w:lineRule="auto"/>
              <w:ind w:left="9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黄河等内陆重点水域禁渔专项行动(艘次)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ascii="Arial"/>
                <w:color w:val="000000"/>
              </w:rPr>
            </w:pPr>
          </w:p>
        </w:tc>
      </w:tr>
    </w:tbl>
    <w:p>
      <w:pPr>
        <w:spacing w:before="274" w:line="223" w:lineRule="auto"/>
        <w:ind w:left="240"/>
        <w:rPr>
          <w:rFonts w:hint="eastAsia" w:ascii="仿宋" w:hAnsi="仿宋" w:eastAsia="仿宋" w:cs="仿宋"/>
          <w:color w:val="000000"/>
          <w:spacing w:val="1"/>
          <w:sz w:val="24"/>
        </w:rPr>
      </w:pPr>
      <w:r>
        <w:rPr>
          <w:rFonts w:hint="eastAsia" w:ascii="仿宋" w:hAnsi="仿宋" w:eastAsia="仿宋" w:cs="仿宋"/>
          <w:color w:val="000000"/>
          <w:spacing w:val="1"/>
          <w:sz w:val="24"/>
        </w:rPr>
        <w:t>注：各县（市、区）可根据工作实际，增加调度项目。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40844391"/>
    <w:rsid w:val="408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2023-04-11T01:48:00Z</dcterms:created>
  <dc:creator>Lenovo</dc:creator>
  <cp:lastModifiedBy>Lenovo</cp:lastModifiedBy>
  <dcterms:modified xsi:type="dcterms:W3CDTF">2023-04-11T01:49:22Z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ADD2C53C707E438BB270825B8A31482F_11</vt:lpwstr>
  </property>
</Properties>
</file>