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ascii="华文中宋" w:hAnsi="华文中宋" w:eastAsia="华文中宋"/>
          <w:b/>
          <w:sz w:val="30"/>
          <w:szCs w:val="30"/>
        </w:rPr>
      </w:pPr>
      <w:r>
        <w:rPr>
          <w:rFonts w:hint="eastAsia" w:ascii="宋体" w:hAnsi="宋体" w:cs="宋体"/>
          <w:b w:val="0"/>
          <w:bCs/>
          <w:sz w:val="30"/>
          <w:szCs w:val="30"/>
          <w:lang w:eastAsia="zh-CN"/>
        </w:rPr>
        <w:t>行政确认：</w:t>
      </w:r>
      <w:bookmarkStart w:id="0" w:name="_GoBack"/>
      <w:r>
        <w:rPr>
          <w:rFonts w:hint="eastAsia" w:ascii="宋体" w:hAnsi="宋体" w:eastAsia="宋体" w:cs="宋体"/>
          <w:b w:val="0"/>
          <w:bCs/>
          <w:sz w:val="30"/>
          <w:szCs w:val="30"/>
          <w:lang w:eastAsia="zh-CN"/>
        </w:rPr>
        <w:t>责令暂停相关营业</w:t>
      </w:r>
      <w:bookmarkEnd w:id="0"/>
    </w:p>
    <w:p>
      <w:r>
        <w:rPr>
          <w:rFonts w:ascii="Calibri" w:hAnsi="Calibri" w:eastAsia="宋体" w:cs="Times New Roman"/>
          <w:kern w:val="2"/>
          <w:sz w:val="21"/>
          <w:szCs w:val="22"/>
          <w:lang w:val="en-US" w:eastAsia="zh-CN" w:bidi="ar-SA"/>
        </w:rPr>
        <w:pict>
          <v:shape id="Flowchart: Process 1035" o:spid="_x0000_s2050" o:spt="109" type="#_x0000_t109" style="position:absolute;left:0pt;margin-left:-29pt;margin-top:4.95pt;height:106.45pt;width:126.75pt;z-index:2516643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21"/>
          <w:szCs w:val="22"/>
          <w:lang w:val="en-US" w:eastAsia="zh-CN" w:bidi="ar-SA"/>
        </w:rPr>
        <w:pict>
          <v:shape id="Flowchart: Preparation 1027" o:spid="_x0000_s2051" o:spt="117" type="#_x0000_t117" style="position:absolute;left:0pt;margin-left:111pt;margin-top:1.05pt;height:22.2pt;width:180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r>
        <w:rPr>
          <w:rFonts w:ascii="Calibri" w:hAnsi="Calibri" w:eastAsia="宋体" w:cs="Times New Roman"/>
          <w:kern w:val="2"/>
          <w:sz w:val="21"/>
          <w:szCs w:val="22"/>
          <w:lang w:val="en-US" w:eastAsia="zh-CN" w:bidi="ar-SA"/>
        </w:rPr>
        <w:pict>
          <v:rect id="Rectangle 1076" o:spid="_x0000_s2052" o:spt="1" style="position:absolute;left:0pt;margin-left:-24.45pt;margin-top:365pt;height:131.75pt;width:133.45pt;z-index:25169817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1、无故拖延案件办理</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2、利用职务便利接受贿赂为当事人谋利益</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3、随意行使自由裁量权</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4、法律法规适用错误</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5、不经案审会审理</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6、按规定受理申诉</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风险等级：中</w:t>
                  </w:r>
                </w:p>
              </w:txbxContent>
            </v:textbox>
          </v:rect>
        </w:pict>
      </w:r>
      <w:r>
        <w:rPr>
          <w:rFonts w:ascii="Calibri" w:hAnsi="Calibri" w:eastAsia="宋体" w:cs="Times New Roman"/>
          <w:kern w:val="2"/>
          <w:sz w:val="21"/>
          <w:szCs w:val="22"/>
          <w:lang w:val="en-US" w:eastAsia="zh-CN" w:bidi="ar-SA"/>
        </w:rPr>
        <w:pict>
          <v:rect id="Rectangle 1073" o:spid="_x0000_s2053" o:spt="1" style="position:absolute;left:0pt;margin-left:-29.6pt;margin-top:98.8pt;height:140.25pt;width:131.8pt;z-index:2516961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1、调查取证接受请托办理人情案</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2、伪造丢失损毁证据，不按规定取证，导致案件调查无法正常进行</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3、回避隐瞒调查信息擅改调查结果重要情况不如实汇报</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风险等级：高</w:t>
                  </w:r>
                </w:p>
              </w:txbxContent>
            </v:textbox>
          </v:rect>
        </w:pict>
      </w:r>
      <w:r>
        <w:rPr>
          <w:rFonts w:ascii="Calibri" w:hAnsi="Calibri" w:eastAsia="宋体" w:cs="Times New Roman"/>
          <w:kern w:val="2"/>
          <w:sz w:val="21"/>
          <w:szCs w:val="22"/>
          <w:lang w:val="en-US" w:eastAsia="zh-CN" w:bidi="ar-SA"/>
        </w:rPr>
        <w:pict>
          <v:rect id="Rectangle 1078" o:spid="_x0000_s2054" o:spt="1" style="position:absolute;left:0pt;margin-left:-14.7pt;margin-top:542.7pt;height:77.8pt;width:125.9pt;z-index:2516992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1、随意从轻或减轻处罚</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2、不依法履行重大案件处罚程序</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风险等级：低</w:t>
                  </w:r>
                </w:p>
              </w:txbxContent>
            </v:textbox>
          </v:rect>
        </w:pict>
      </w:r>
      <w:r>
        <w:rPr>
          <w:rFonts w:ascii="Calibri" w:hAnsi="Calibri" w:eastAsia="宋体" w:cs="Times New Roman"/>
          <w:kern w:val="2"/>
          <w:sz w:val="21"/>
          <w:szCs w:val="22"/>
          <w:lang w:val="en-US" w:eastAsia="zh-CN" w:bidi="ar-SA"/>
        </w:rPr>
        <w:pict>
          <v:shape id="Flowchart: Process 1071" o:spid="_x0000_s2055" o:spt="109" type="#_x0000_t109" style="position:absolute;left:0pt;margin-left:289.9pt;margin-top:614pt;height:101.05pt;width:202.3pt;z-index:25169408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1"/>
                    </w:numPr>
                    <w:rPr>
                      <w:rFonts w:hint="eastAsia" w:ascii="宋体" w:hAnsi="宋体" w:cs="宋体"/>
                      <w:sz w:val="18"/>
                      <w:szCs w:val="18"/>
                      <w:lang w:eastAsia="zh-CN"/>
                    </w:rPr>
                  </w:pPr>
                  <w:r>
                    <w:rPr>
                      <w:rFonts w:hint="eastAsia" w:ascii="宋体" w:hAnsi="宋体" w:eastAsia="宋体" w:cs="宋体"/>
                      <w:sz w:val="18"/>
                      <w:szCs w:val="18"/>
                    </w:rPr>
                    <w:t>当事人确有经济困难，需要延期、分期缴纳罚款、违法所得的，由当事人提出书面申请</w:t>
                  </w:r>
                  <w:r>
                    <w:rPr>
                      <w:rFonts w:hint="eastAsia" w:ascii="宋体" w:hAnsi="宋体" w:cs="宋体"/>
                      <w:sz w:val="18"/>
                      <w:szCs w:val="18"/>
                      <w:lang w:eastAsia="zh-CN"/>
                    </w:rPr>
                    <w:t>；</w:t>
                  </w:r>
                  <w:r>
                    <w:rPr>
                      <w:rFonts w:hint="eastAsia" w:ascii="宋体" w:hAnsi="宋体" w:eastAsia="宋体" w:cs="宋体"/>
                      <w:sz w:val="18"/>
                      <w:szCs w:val="18"/>
                    </w:rPr>
                    <w:t>2、当事人应在自收到行政处罚决定书之日起十五日内到指定银行缴纳罚没款</w:t>
                  </w:r>
                  <w:r>
                    <w:rPr>
                      <w:rFonts w:hint="eastAsia" w:ascii="宋体" w:hAnsi="宋体" w:cs="宋体"/>
                      <w:sz w:val="18"/>
                      <w:szCs w:val="18"/>
                      <w:lang w:eastAsia="zh-CN"/>
                    </w:rPr>
                    <w:t>；</w:t>
                  </w:r>
                  <w:r>
                    <w:rPr>
                      <w:rFonts w:hint="eastAsia" w:ascii="宋体" w:hAnsi="宋体" w:eastAsia="宋体" w:cs="宋体"/>
                      <w:sz w:val="18"/>
                      <w:szCs w:val="18"/>
                    </w:rPr>
                    <w:t>3、依法申请人民法院强制执行</w:t>
                  </w:r>
                  <w:r>
                    <w:rPr>
                      <w:rFonts w:hint="eastAsia" w:ascii="宋体" w:hAnsi="宋体" w:cs="宋体"/>
                      <w:sz w:val="18"/>
                      <w:szCs w:val="18"/>
                      <w:lang w:eastAsia="zh-CN"/>
                    </w:rPr>
                    <w:t>。</w:t>
                  </w:r>
                </w:p>
                <w:p>
                  <w:pPr>
                    <w:numPr>
                      <w:ilvl w:val="0"/>
                      <w:numId w:val="0"/>
                    </w:numPr>
                    <w:rPr>
                      <w:rFonts w:hint="eastAsia" w:ascii="宋体" w:hAnsi="宋体" w:eastAsia="宋体" w:cs="宋体"/>
                      <w:sz w:val="18"/>
                      <w:szCs w:val="18"/>
                    </w:rPr>
                  </w:pPr>
                  <w:r>
                    <w:rPr>
                      <w:rFonts w:hint="eastAsia" w:ascii="宋体" w:hAnsi="宋体" w:cs="宋体"/>
                      <w:sz w:val="18"/>
                      <w:szCs w:val="18"/>
                      <w:lang w:eastAsia="zh-CN"/>
                    </w:rPr>
                    <w:t>责任人：执法人员</w:t>
                  </w:r>
                </w:p>
                <w:p/>
              </w:txbxContent>
            </v:textbox>
          </v:shape>
        </w:pict>
      </w:r>
      <w:r>
        <w:rPr>
          <w:rFonts w:ascii="华文中宋" w:hAnsi="华文中宋" w:eastAsia="华文中宋" w:cs="Times New Roman"/>
          <w:b/>
          <w:kern w:val="2"/>
          <w:sz w:val="21"/>
          <w:szCs w:val="21"/>
          <w:lang w:val="en-US" w:eastAsia="zh-CN" w:bidi="ar-SA"/>
        </w:rPr>
        <w:pict>
          <v:shape id="Flowchart: Process 1033" o:spid="_x0000_s2056" o:spt="109" type="#_x0000_t109" style="position:absolute;left:0pt;margin-left:294.75pt;margin-top:1.1pt;height:78.75pt;width:192.2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2"/>
                    </w:numPr>
                    <w:rPr>
                      <w:rFonts w:hint="eastAsia"/>
                      <w:sz w:val="18"/>
                      <w:szCs w:val="18"/>
                      <w:lang w:eastAsia="zh-CN"/>
                    </w:rPr>
                  </w:pPr>
                  <w:r>
                    <w:rPr>
                      <w:rFonts w:hint="eastAsia"/>
                      <w:sz w:val="18"/>
                      <w:szCs w:val="18"/>
                    </w:rPr>
                    <w:t>检查通知书送达</w:t>
                  </w:r>
                  <w:r>
                    <w:rPr>
                      <w:rFonts w:hint="eastAsia"/>
                      <w:sz w:val="18"/>
                      <w:szCs w:val="18"/>
                      <w:lang w:eastAsia="zh-CN"/>
                    </w:rPr>
                    <w:t>；</w:t>
                  </w:r>
                  <w:r>
                    <w:rPr>
                      <w:rFonts w:hint="eastAsia"/>
                      <w:sz w:val="18"/>
                      <w:szCs w:val="18"/>
                    </w:rPr>
                    <w:t>2、涉嫌价格违法填写立案审批表</w:t>
                  </w:r>
                  <w:r>
                    <w:rPr>
                      <w:rFonts w:hint="eastAsia"/>
                      <w:sz w:val="18"/>
                      <w:szCs w:val="18"/>
                      <w:lang w:eastAsia="zh-CN"/>
                    </w:rPr>
                    <w:t>；</w:t>
                  </w:r>
                  <w:r>
                    <w:rPr>
                      <w:rFonts w:hint="eastAsia"/>
                      <w:sz w:val="18"/>
                      <w:szCs w:val="18"/>
                    </w:rPr>
                    <w:t>3、全程执行《价格行政执法人员廉洁自律规定》</w:t>
                  </w:r>
                  <w:r>
                    <w:rPr>
                      <w:rFonts w:hint="eastAsia"/>
                      <w:sz w:val="18"/>
                      <w:szCs w:val="18"/>
                      <w:lang w:eastAsia="zh-CN"/>
                    </w:rPr>
                    <w:t>。</w:t>
                  </w:r>
                </w:p>
                <w:p>
                  <w:pPr>
                    <w:numPr>
                      <w:ilvl w:val="0"/>
                      <w:numId w:val="0"/>
                    </w:numPr>
                    <w:rPr>
                      <w:sz w:val="18"/>
                      <w:szCs w:val="18"/>
                    </w:rPr>
                  </w:pPr>
                  <w:r>
                    <w:rPr>
                      <w:rFonts w:hint="eastAsia"/>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Quad Arrow 1093" o:spid="_x0000_s2057" o:spt="202" type="#_x0000_t202" style="position:absolute;left:0pt;margin-left:229.5pt;margin-top:551.7pt;height:20.3pt;width:59.55pt;z-index:2517104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2058" o:spt="34" type="#_x0000_t34" style="position:absolute;left:0pt;margin-left:232.15pt;margin-top:569.7pt;height:56.25pt;width:59.6pt;z-index:251711488;mso-width-relative:page;mso-height-relative:page;" o:connectortype="elbow" fillcolor="#FFFFFF" filled="f" o:preferrelative="t" stroked="t" coordsize="21600,21600" adj="108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2059" o:spt="32" type="#_x0000_t32" style="position:absolute;left:0pt;margin-left:229.5pt;margin-top:426.6pt;height:0.05pt;width:61.5pt;z-index:25168281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2060" o:spt="202" type="#_x0000_t202" style="position:absolute;left:0pt;margin-left:232.15pt;margin-top:403.7pt;height:139.55pt;width:57.75pt;z-index:25170227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Flowchart: Process 1067" o:spid="_x0000_s2061" o:spt="109" type="#_x0000_t109" style="position:absolute;left:0pt;margin-left:289.45pt;margin-top:84.45pt;height:117pt;width:207pt;z-index:2516899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1、执法人员两人以上；出示执法证件、告知申请回避的条件</w:t>
                  </w:r>
                  <w:r>
                    <w:rPr>
                      <w:rFonts w:hint="eastAsia" w:ascii="宋体" w:hAnsi="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Quad Arrow 1065" o:spid="_x0000_s2062" o:spt="202" type="#_x0000_t202" style="position:absolute;left:0pt;margin-left:229.5pt;margin-top:133.25pt;height:31.2pt;width:59.95pt;z-index:2516879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2063" o:spt="32" type="#_x0000_t32" style="position:absolute;left:0pt;margin-left:231.05pt;margin-top:66.2pt;height:0.05pt;width:59.95pt;z-index:25166131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2064" o:spt="202" type="#_x0000_t202" style="position:absolute;left:0pt;margin-left:231.05pt;margin-top:48.15pt;height:25.8pt;width:58.85pt;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2065" o:spt="32" type="#_x0000_t32" style="position:absolute;left:0pt;flip:x;margin-left:111pt;margin-top:575pt;height:0.05pt;width:51.25pt;z-index:2516848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2066" o:spt="202" type="#_x0000_t202" style="position:absolute;left:0pt;margin-left:111.25pt;margin-top:551.7pt;height:30.9pt;width:49.75pt;z-index:25170841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2067" o:spt="109" type="#_x0000_t109" style="position:absolute;left:0pt;margin-left:160.15pt;margin-top:551.7pt;height:24.05pt;width:72pt;z-index:25167769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2068" o:spt="202" type="#_x0000_t202" style="position:absolute;left:0pt;margin-left:117.75pt;margin-top:409pt;height:30.9pt;width:48.75pt;z-index:25170739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2069" o:spt="32" type="#_x0000_t32" style="position:absolute;left:0pt;flip:x;margin-left:111.25pt;margin-top:426.45pt;height:0.05pt;width:50.75pt;z-index:25168384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75" o:spid="_x0000_s2070" o:spt="109" type="#_x0000_t109" style="position:absolute;left:0pt;margin-left:-26.25pt;margin-top:273.6pt;height:71.25pt;width:131.25pt;z-index:2516971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1、不进行告知</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2、听取当事人申辩、不进行复议</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shape id="Straight Connector 1056" o:spid="_x0000_s2071" o:spt="32" type="#_x0000_t32" style="position:absolute;left:0pt;flip:x;margin-left:105pt;margin-top:339.45pt;height:0.1pt;width:58.9pt;z-index:25168179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2072" o:spt="202" type="#_x0000_t202" style="position:absolute;left:0pt;margin-left:111pt;margin-top:319.95pt;height:139.55pt;width:51pt;z-index:25170636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2073" o:spt="32" type="#_x0000_t32" style="position:absolute;left:0pt;flip:x;margin-left:100.5pt;margin-top:154.65pt;height:0.75pt;width:63.4pt;z-index:25167974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2074" o:spt="202" type="#_x0000_t202" style="position:absolute;left:0pt;margin-left:113.9pt;margin-top:133.25pt;height:22.9pt;width:52.6pt;z-index:25170534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2075" o:spt="32" type="#_x0000_t32" style="position:absolute;left:0pt;flip:x;margin-left:96.65pt;margin-top:73.95pt;height:0.05pt;width:69.85pt;z-index:25166233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2076" o:spt="202" type="#_x0000_t202" style="position:absolute;left:0pt;margin-left:111pt;margin-top:55.2pt;height:23.25pt;width:51pt;z-index:25170432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2077" o:spt="202" type="#_x0000_t202" style="position:absolute;left:0pt;margin-left:236.65pt;margin-top:474.8pt;height:30.4pt;width:58.85pt;z-index:2517094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2078" o:spt="32" type="#_x0000_t32" style="position:absolute;left:0pt;margin-left:201.8pt;margin-top:579.5pt;height:50.95pt;width:0.05pt;z-index:25168588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2079" o:spt="32" type="#_x0000_t32" style="position:absolute;left:0pt;flip:x;margin-left:201.8pt;margin-top:505.2pt;height:50.25pt;width:1.45pt;z-index:25167667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2080" o:spt="34" type="#_x0000_t34" style="position:absolute;left:0pt;margin-left:234pt;margin-top:496.95pt;height:54.75pt;width:61.5pt;z-index:251703296;mso-width-relative:page;mso-height-relative:page;" o:connectortype="elbow" fillcolor="#FFFFFF" filled="f" o:preferrelative="t" stroked="t" coordsize="21600,21600" adj="108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2081" o:spt="109" type="#_x0000_t109" style="position:absolute;left:0pt;margin-left:162pt;margin-top:477.45pt;height:27.75pt;width:72pt;z-index:2516756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2082" o:spt="32" type="#_x0000_t32" style="position:absolute;left:0pt;margin-left:196.8pt;margin-top:434.1pt;height:43.35pt;width:0.05pt;z-index:25167462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2083" o:spt="109" type="#_x0000_t109" style="position:absolute;left:0pt;margin-left:162pt;margin-top:409.95pt;height:24.15pt;width:68.25pt;z-index:2516736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2084" o:spt="32" type="#_x0000_t32" style="position:absolute;left:0pt;margin-left:196.75pt;margin-top:350.7pt;height:59.25pt;width:0.05pt;z-index:25167257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2085" o:spt="109" type="#_x0000_t109" style="position:absolute;left:0pt;margin-left:162pt;margin-top:327.45pt;height:23.25pt;width:68.25pt;z-index:2516715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2086" o:spt="32" type="#_x0000_t32" style="position:absolute;left:0pt;flip:x;margin-left:196.3pt;margin-top:279.45pt;height:48pt;width:0.45pt;z-index:25167052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2087" o:spt="109" type="#_x0000_t109" style="position:absolute;left:0pt;margin-left:163.9pt;margin-top:251.7pt;height:27.75pt;width:66.35pt;z-index:2516695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2088" o:spt="32" type="#_x0000_t32" style="position:absolute;left:0pt;flip:x;margin-left:196.25pt;margin-top:164.4pt;height:87.3pt;width:0.5pt;z-index:25166848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2089" o:spt="109" type="#_x0000_t109" style="position:absolute;left:0pt;margin-left:163.9pt;margin-top:140.25pt;height:24.15pt;width:68.25pt;z-index:2516674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2090" o:spt="32" type="#_x0000_t32" style="position:absolute;left:0pt;margin-left:195.8pt;margin-top:84.45pt;height:55.8pt;width:0.05pt;z-index:25166540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2091" o:spt="109" type="#_x0000_t109" style="position:absolute;left:0pt;margin-left:166.5pt;margin-top:57.15pt;height:27.3pt;width:63.75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2092" o:spt="202" type="#_x0000_t202" style="position:absolute;left:0pt;margin-left:229.5pt;margin-top:319.95pt;height:24.9pt;width:61.5pt;z-index:25170124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2093" o:spt="202" type="#_x0000_t202" style="position:absolute;left:0pt;margin-left:234.75pt;margin-top:245.7pt;height:26.25pt;width:57pt;z-index:25170022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Flowchart: Process 1068" o:spid="_x0000_s2094" o:spt="109" type="#_x0000_t109" style="position:absolute;left:0pt;margin-left:295.5pt;margin-top:207.45pt;height:100.5pt;width:198pt;z-index:25169100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3"/>
                    </w:numPr>
                    <w:rPr>
                      <w:rFonts w:hint="eastAsia" w:ascii="宋体" w:hAnsi="宋体" w:cs="宋体"/>
                      <w:sz w:val="18"/>
                      <w:szCs w:val="18"/>
                      <w:lang w:eastAsia="zh-CN"/>
                    </w:rPr>
                  </w:pPr>
                  <w:r>
                    <w:rPr>
                      <w:rFonts w:hint="eastAsia" w:ascii="宋体" w:hAnsi="宋体" w:eastAsia="宋体" w:cs="宋体"/>
                      <w:sz w:val="18"/>
                      <w:szCs w:val="18"/>
                    </w:rPr>
                    <w:t>执行《价格行政处罚审理审查规则》</w:t>
                  </w:r>
                  <w:r>
                    <w:rPr>
                      <w:rFonts w:hint="eastAsia" w:ascii="宋体" w:hAnsi="宋体" w:cs="宋体"/>
                      <w:sz w:val="18"/>
                      <w:szCs w:val="18"/>
                      <w:lang w:eastAsia="zh-CN"/>
                    </w:rPr>
                    <w:t>；</w:t>
                  </w:r>
                  <w:r>
                    <w:rPr>
                      <w:rFonts w:hint="eastAsia" w:ascii="宋体" w:hAnsi="宋体" w:eastAsia="宋体" w:cs="宋体"/>
                      <w:sz w:val="18"/>
                      <w:szCs w:val="18"/>
                    </w:rPr>
                    <w:t>2、审理按规定由价格监督检查机构负责人召集审理会议</w:t>
                  </w:r>
                  <w:r>
                    <w:rPr>
                      <w:rFonts w:hint="eastAsia" w:ascii="宋体" w:hAnsi="宋体" w:cs="宋体"/>
                      <w:sz w:val="18"/>
                      <w:szCs w:val="18"/>
                      <w:lang w:eastAsia="zh-CN"/>
                    </w:rPr>
                    <w:t>；</w:t>
                  </w:r>
                  <w:r>
                    <w:rPr>
                      <w:rFonts w:hint="eastAsia" w:ascii="宋体" w:hAnsi="宋体" w:eastAsia="宋体" w:cs="宋体"/>
                      <w:sz w:val="18"/>
                      <w:szCs w:val="18"/>
                    </w:rPr>
                    <w:t>3、审查由价格主管部门负责人进行</w:t>
                  </w:r>
                  <w:r>
                    <w:rPr>
                      <w:rFonts w:hint="eastAsia" w:ascii="宋体" w:hAnsi="宋体" w:cs="宋体"/>
                      <w:sz w:val="18"/>
                      <w:szCs w:val="18"/>
                      <w:lang w:eastAsia="zh-CN"/>
                    </w:rPr>
                    <w:t>；</w:t>
                  </w:r>
                  <w:r>
                    <w:rPr>
                      <w:rFonts w:hint="eastAsia" w:ascii="宋体" w:hAnsi="宋体" w:eastAsia="宋体" w:cs="宋体"/>
                      <w:sz w:val="18"/>
                      <w:szCs w:val="18"/>
                    </w:rPr>
                    <w:t>4、自由裁量按《规范价格行政处罚权的若干规定》        审理责任人：</w:t>
                  </w:r>
                  <w:r>
                    <w:rPr>
                      <w:rFonts w:hint="eastAsia" w:ascii="宋体" w:hAnsi="宋体" w:cs="宋体"/>
                      <w:sz w:val="18"/>
                      <w:szCs w:val="18"/>
                      <w:lang w:eastAsia="zh-CN"/>
                    </w:rPr>
                    <w:t>检查分局负责人</w:t>
                  </w:r>
                </w:p>
                <w:p>
                  <w:pPr>
                    <w:numPr>
                      <w:ilvl w:val="0"/>
                      <w:numId w:val="0"/>
                    </w:numPr>
                    <w:rPr>
                      <w:rFonts w:hint="eastAsia" w:ascii="宋体" w:hAnsi="宋体" w:cs="宋体"/>
                      <w:sz w:val="18"/>
                      <w:szCs w:val="18"/>
                      <w:lang w:eastAsia="zh-CN"/>
                    </w:rPr>
                  </w:pPr>
                  <w:r>
                    <w:rPr>
                      <w:rFonts w:hint="eastAsia" w:ascii="宋体" w:hAnsi="宋体" w:cs="宋体"/>
                      <w:sz w:val="18"/>
                      <w:szCs w:val="18"/>
                      <w:lang w:eastAsia="zh-CN"/>
                    </w:rPr>
                    <w:t>审查责任人：分管领导和委领导</w:t>
                  </w:r>
                </w:p>
              </w:txbxContent>
            </v:textbox>
          </v:shape>
        </w:pict>
      </w:r>
      <w:r>
        <w:rPr>
          <w:rFonts w:ascii="Calibri" w:hAnsi="Calibri" w:eastAsia="宋体" w:cs="Times New Roman"/>
          <w:kern w:val="2"/>
          <w:sz w:val="21"/>
          <w:szCs w:val="22"/>
          <w:lang w:val="en-US" w:eastAsia="zh-CN" w:bidi="ar-SA"/>
        </w:rPr>
        <w:pict>
          <v:shape id="Flowchart: Process 1072" o:spid="_x0000_s2095" o:spt="109" type="#_x0000_t109" style="position:absolute;left:0pt;margin-left:291.75pt;margin-top:523.95pt;height:85.5pt;width:197.25pt;z-index:2516951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numPr>
                      <w:ilvl w:val="0"/>
                      <w:numId w:val="4"/>
                    </w:numPr>
                    <w:rPr>
                      <w:rFonts w:hint="eastAsia" w:ascii="宋体" w:hAnsi="宋体" w:eastAsia="宋体" w:cs="宋体"/>
                      <w:sz w:val="18"/>
                      <w:szCs w:val="18"/>
                    </w:rPr>
                  </w:pPr>
                  <w:r>
                    <w:rPr>
                      <w:rFonts w:hint="eastAsia" w:ascii="宋体" w:hAnsi="宋体" w:eastAsia="宋体" w:cs="宋体"/>
                      <w:sz w:val="18"/>
                      <w:szCs w:val="18"/>
                    </w:rPr>
                    <w:t>行政处罚决定作出之日起七日内送达</w:t>
                  </w:r>
                  <w:r>
                    <w:rPr>
                      <w:rFonts w:hint="eastAsia" w:ascii="宋体" w:hAnsi="宋体" w:cs="宋体"/>
                      <w:sz w:val="18"/>
                      <w:szCs w:val="18"/>
                      <w:lang w:eastAsia="zh-CN"/>
                    </w:rPr>
                    <w:t>；</w:t>
                  </w:r>
                  <w:r>
                    <w:rPr>
                      <w:rFonts w:hint="eastAsia" w:ascii="宋体" w:hAnsi="宋体" w:eastAsia="宋体" w:cs="宋体"/>
                      <w:sz w:val="18"/>
                      <w:szCs w:val="18"/>
                    </w:rPr>
                    <w:t>2、送达方式直接送达、委托送达、公告送达；3、送达文书必须有送达回证；4、受送达人在送达回证上记明收到日期，签名或者盖章。</w:t>
                  </w:r>
                </w:p>
                <w:p>
                  <w:pPr>
                    <w:numPr>
                      <w:ilvl w:val="0"/>
                      <w:numId w:val="0"/>
                    </w:numPr>
                    <w:rPr>
                      <w:rFonts w:hint="eastAsia" w:ascii="宋体" w:hAnsi="宋体" w:eastAsia="宋体" w:cs="宋体"/>
                      <w:sz w:val="18"/>
                      <w:szCs w:val="18"/>
                    </w:rPr>
                  </w:pPr>
                  <w:r>
                    <w:rPr>
                      <w:rFonts w:hint="eastAsia" w:ascii="宋体" w:hAnsi="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2096" o:spt="109" type="#_x0000_t109" style="position:absolute;left:0pt;margin-left:291.75pt;margin-top:417.1pt;height:100.85pt;width:200.65pt;z-index:2516930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sz w:val="18"/>
                      <w:szCs w:val="18"/>
                      <w:lang w:eastAsia="zh-CN"/>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的价格主管部门名称和日期</w:t>
                  </w:r>
                  <w:r>
                    <w:rPr>
                      <w:rFonts w:hint="eastAsia"/>
                      <w:sz w:val="18"/>
                      <w:szCs w:val="18"/>
                      <w:lang w:eastAsia="zh-CN"/>
                    </w:rPr>
                    <w:t>。</w:t>
                  </w:r>
                </w:p>
                <w:p>
                  <w:pPr>
                    <w:rPr>
                      <w:rFonts w:hint="eastAsia"/>
                      <w:sz w:val="18"/>
                      <w:szCs w:val="18"/>
                      <w:lang w:eastAsia="zh-CN"/>
                    </w:rPr>
                  </w:pPr>
                  <w:r>
                    <w:rPr>
                      <w:rFonts w:hint="eastAsia"/>
                      <w:sz w:val="18"/>
                      <w:szCs w:val="18"/>
                      <w:lang w:eastAsia="zh-CN"/>
                    </w:rPr>
                    <w:t>责任人：委领导</w:t>
                  </w:r>
                </w:p>
                <w:p/>
              </w:txbxContent>
            </v:textbox>
          </v:shape>
        </w:pict>
      </w:r>
      <w:r>
        <w:rPr>
          <w:rFonts w:ascii="Calibri" w:hAnsi="Calibri" w:eastAsia="宋体" w:cs="Times New Roman"/>
          <w:kern w:val="2"/>
          <w:sz w:val="21"/>
          <w:szCs w:val="22"/>
          <w:lang w:val="en-US" w:eastAsia="zh-CN" w:bidi="ar-SA"/>
        </w:rPr>
        <w:pict>
          <v:shape id="Flowchart: Process 1069" o:spid="_x0000_s2097" o:spt="109" type="#_x0000_t109" style="position:absolute;left:0pt;margin-left:295.5pt;margin-top:311.75pt;height:98.2pt;width:193.5pt;z-index:25169203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1、书面告知当事人拟作出的行政处罚决定的事实、理由、依据及决定</w:t>
                  </w:r>
                  <w:r>
                    <w:rPr>
                      <w:rFonts w:hint="eastAsia" w:ascii="宋体" w:hAnsi="宋体" w:cs="宋体"/>
                      <w:sz w:val="18"/>
                      <w:szCs w:val="18"/>
                      <w:lang w:eastAsia="zh-CN"/>
                    </w:rPr>
                    <w:t>；</w:t>
                  </w:r>
                  <w:r>
                    <w:rPr>
                      <w:rFonts w:hint="eastAsia" w:ascii="宋体" w:hAnsi="宋体" w:eastAsia="宋体" w:cs="宋体"/>
                      <w:sz w:val="18"/>
                      <w:szCs w:val="18"/>
                    </w:rPr>
                    <w:t>2、当事人的陈述、申辩权利、听证权、退还价款一并告知</w:t>
                  </w:r>
                  <w:r>
                    <w:rPr>
                      <w:rFonts w:hint="eastAsia" w:ascii="宋体" w:hAnsi="宋体" w:cs="宋体"/>
                      <w:sz w:val="18"/>
                      <w:szCs w:val="18"/>
                      <w:lang w:eastAsia="zh-CN"/>
                    </w:rPr>
                    <w:t>；</w:t>
                  </w:r>
                  <w:r>
                    <w:rPr>
                      <w:rFonts w:hint="eastAsia" w:ascii="宋体" w:hAnsi="宋体" w:eastAsia="宋体" w:cs="宋体"/>
                      <w:sz w:val="18"/>
                      <w:szCs w:val="18"/>
                    </w:rPr>
                    <w:t>3、收到告知后三日提出，逾期未提，视为放弃</w:t>
                  </w:r>
                  <w:r>
                    <w:rPr>
                      <w:rFonts w:hint="eastAsia" w:ascii="宋体" w:hAnsi="宋体" w:cs="宋体"/>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Straight Connector 1050" o:spid="_x0000_s2098" o:spt="32" type="#_x0000_t32" style="position:absolute;left:0pt;margin-left:232.15pt;margin-top:155.4pt;height:0.75pt;width:57.75pt;z-index:25167872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2099" o:spt="32" type="#_x0000_t32" style="position:absolute;left:0pt;margin-left:230.25pt;margin-top:339.5pt;height:0.05pt;width:65.25pt;z-index:25168076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2100" o:spt="32" type="#_x0000_t32" style="position:absolute;left:0pt;margin-left:230.25pt;margin-top:268.2pt;height:0.05pt;width:65.25pt;z-index:25168896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2101" o:spt="32" type="#_x0000_t32" style="position:absolute;left:0pt;margin-left:195.7pt;margin-top:7.65pt;height:49.5pt;width:0.05pt;z-index:2516592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2102" o:spt="116" type="#_x0000_t116" style="position:absolute;left:0pt;margin-left:152.25pt;margin-top:625.95pt;height:27pt;width:99.75pt;z-index:2516869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 xml:space="preserve">     结案</w:t>
                  </w:r>
                </w:p>
                <w:p/>
              </w:txbxContent>
            </v:textbox>
          </v:shape>
        </w:pict>
      </w:r>
    </w:p>
    <w:sectPr>
      <w:pgSz w:w="11906" w:h="16838"/>
      <w:pgMar w:top="550" w:right="227" w:bottom="323" w:left="124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D07D"/>
    <w:multiLevelType w:val="singleLevel"/>
    <w:tmpl w:val="5615D07D"/>
    <w:lvl w:ilvl="0" w:tentative="0">
      <w:start w:val="1"/>
      <w:numFmt w:val="decimal"/>
      <w:suff w:val="nothing"/>
      <w:lvlText w:val="%1、"/>
      <w:lvlJc w:val="left"/>
    </w:lvl>
  </w:abstractNum>
  <w:abstractNum w:abstractNumId="1">
    <w:nsid w:val="5615D0E2"/>
    <w:multiLevelType w:val="singleLevel"/>
    <w:tmpl w:val="5615D0E2"/>
    <w:lvl w:ilvl="0" w:tentative="0">
      <w:start w:val="1"/>
      <w:numFmt w:val="decimal"/>
      <w:suff w:val="nothing"/>
      <w:lvlText w:val="%1、"/>
      <w:lvlJc w:val="left"/>
    </w:lvl>
  </w:abstractNum>
  <w:abstractNum w:abstractNumId="2">
    <w:nsid w:val="5615D161"/>
    <w:multiLevelType w:val="singleLevel"/>
    <w:tmpl w:val="5615D161"/>
    <w:lvl w:ilvl="0" w:tentative="0">
      <w:start w:val="1"/>
      <w:numFmt w:val="decimal"/>
      <w:suff w:val="nothing"/>
      <w:lvlText w:val="%1、"/>
      <w:lvlJc w:val="left"/>
    </w:lvl>
  </w:abstractNum>
  <w:abstractNum w:abstractNumId="3">
    <w:nsid w:val="561781DA"/>
    <w:multiLevelType w:val="singleLevel"/>
    <w:tmpl w:val="561781DA"/>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02CA341B"/>
    <w:rsid w:val="038134CC"/>
    <w:rsid w:val="257745FF"/>
    <w:rsid w:val="29D5322D"/>
    <w:rsid w:val="32AC20A9"/>
    <w:rsid w:val="3548237A"/>
    <w:rsid w:val="46717855"/>
    <w:rsid w:val="4DAA627B"/>
    <w:rsid w:val="62801A21"/>
    <w:rsid w:val="65AB71E1"/>
    <w:rsid w:val="6CD30EB7"/>
    <w:rsid w:val="75BC52B8"/>
    <w:rsid w:val="7C356B5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2015-10-08T02:38:00Z</cp:lastPrinted>
  <dcterms:modified xsi:type="dcterms:W3CDTF">2018-07-13T09:06:05Z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