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ascii="华文中宋" w:hAnsi="华文中宋" w:eastAsia="华文中宋"/>
          <w:b/>
          <w:sz w:val="30"/>
          <w:szCs w:val="30"/>
          <w:lang w:val="en-US"/>
        </w:rPr>
      </w:pPr>
      <w:r>
        <w:rPr>
          <w:rFonts w:hint="eastAsia" w:ascii="宋体" w:hAnsi="宋体" w:cs="宋体"/>
          <w:b w:val="0"/>
          <w:bCs/>
          <w:sz w:val="30"/>
          <w:szCs w:val="30"/>
          <w:lang w:eastAsia="zh-CN"/>
        </w:rPr>
        <w:t>行政处罚</w:t>
      </w:r>
      <w:r>
        <w:rPr>
          <w:rFonts w:hint="eastAsia" w:ascii="宋体" w:hAnsi="宋体" w:cs="宋体"/>
          <w:b w:val="0"/>
          <w:bCs/>
          <w:sz w:val="30"/>
          <w:szCs w:val="30"/>
          <w:lang w:val="en-US" w:eastAsia="zh-CN"/>
        </w:rPr>
        <w:t>:</w:t>
      </w:r>
      <w:r>
        <w:rPr>
          <w:rFonts w:hint="eastAsia" w:ascii="宋体" w:hAnsi="宋体" w:cs="宋体"/>
          <w:b w:val="0"/>
          <w:bCs/>
          <w:sz w:val="30"/>
          <w:szCs w:val="30"/>
          <w:lang w:eastAsia="zh-CN"/>
        </w:rPr>
        <w:t>对经营者不正当价格行为的处罚</w:t>
      </w:r>
    </w:p>
    <w:p>
      <w:r>
        <w:rPr>
          <w:rFonts w:ascii="华文中宋" w:hAnsi="华文中宋" w:eastAsia="华文中宋" w:cs="Times New Roman"/>
          <w:b/>
          <w:kern w:val="2"/>
          <w:sz w:val="21"/>
          <w:szCs w:val="21"/>
          <w:lang w:val="en-US" w:eastAsia="zh-CN" w:bidi="ar-SA"/>
        </w:rPr>
        <w:pict>
          <v:shape id="Flowchart: Process 1033" o:spid="_x0000_s1026" type="#_x0000_t109" style="position:absolute;left:0;margin-left:295.6pt;margin-top:15.05pt;height:81.45pt;width:188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1"/>
                    </w:numPr>
                    <w:rPr>
                      <w:rFonts w:hint="eastAsia"/>
                      <w:sz w:val="18"/>
                      <w:szCs w:val="18"/>
                      <w:lang w:eastAsia="zh-CN"/>
                    </w:rPr>
                  </w:pPr>
                  <w:r>
                    <w:rPr>
                      <w:rFonts w:hint="eastAsia"/>
                      <w:sz w:val="18"/>
                      <w:szCs w:val="18"/>
                    </w:rPr>
                    <w:t>检查通知书送达</w:t>
                  </w:r>
                  <w:r>
                    <w:rPr>
                      <w:rFonts w:hint="eastAsia"/>
                      <w:sz w:val="18"/>
                      <w:szCs w:val="18"/>
                      <w:lang w:eastAsia="zh-CN"/>
                    </w:rPr>
                    <w:t>；</w:t>
                  </w:r>
                  <w:r>
                    <w:rPr>
                      <w:rFonts w:hint="eastAsia"/>
                      <w:sz w:val="18"/>
                      <w:szCs w:val="18"/>
                    </w:rPr>
                    <w:t>2、涉嫌价格违法填写立案审批表</w:t>
                  </w:r>
                  <w:r>
                    <w:rPr>
                      <w:rFonts w:hint="eastAsia"/>
                      <w:sz w:val="18"/>
                      <w:szCs w:val="18"/>
                      <w:lang w:eastAsia="zh-CN"/>
                    </w:rPr>
                    <w:t>；</w:t>
                  </w:r>
                  <w:r>
                    <w:rPr>
                      <w:rFonts w:hint="eastAsia"/>
                      <w:sz w:val="18"/>
                      <w:szCs w:val="18"/>
                    </w:rPr>
                    <w:t>3、全程执行《价格行政执法人员廉洁自律规定》</w:t>
                  </w:r>
                  <w:r>
                    <w:rPr>
                      <w:rFonts w:hint="eastAsia"/>
                      <w:sz w:val="18"/>
                      <w:szCs w:val="18"/>
                      <w:lang w:eastAsia="zh-CN"/>
                    </w:rPr>
                    <w:t>。</w:t>
                  </w:r>
                </w:p>
                <w:p>
                  <w:pPr>
                    <w:numPr>
                      <w:ilvl w:val="0"/>
                      <w:numId w:val="1"/>
                    </w:numPr>
                    <w:rPr>
                      <w:rFonts w:hint="eastAsia"/>
                      <w:sz w:val="18"/>
                      <w:szCs w:val="18"/>
                      <w:lang w:eastAsia="zh-CN"/>
                    </w:rPr>
                  </w:pPr>
                  <w:r>
                    <w:rPr>
                      <w:rFonts w:hint="eastAsia"/>
                      <w:sz w:val="18"/>
                      <w:szCs w:val="18"/>
                      <w:lang w:eastAsia="zh-CN"/>
                    </w:rPr>
                    <w:t>责任人：分管领导或经授权的检查分局负责人</w:t>
                  </w:r>
                </w:p>
              </w:txbxContent>
            </v:textbox>
          </v:shape>
        </w:pict>
      </w:r>
      <w:r>
        <w:rPr>
          <w:rFonts w:ascii="Calibri" w:hAnsi="Calibri" w:eastAsia="宋体" w:cs="Times New Roman"/>
          <w:kern w:val="2"/>
          <w:sz w:val="21"/>
          <w:szCs w:val="22"/>
          <w:lang w:val="en-US" w:eastAsia="zh-CN" w:bidi="ar-SA"/>
        </w:rPr>
        <w:pict>
          <v:shape id="Flowchart: Preparation 1027" o:spid="_x0000_s1027" type="#_x0000_t117" style="position:absolute;left:0;margin-left:111pt;margin-top:1.05pt;height:22.2pt;width:180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bookmarkStart w:id="0" w:name="_GoBack"/>
      <w:bookmarkEnd w:id="0"/>
      <w:r>
        <w:rPr>
          <w:rFonts w:ascii="Calibri" w:hAnsi="Calibri" w:eastAsia="宋体" w:cs="Times New Roman"/>
          <w:kern w:val="2"/>
          <w:sz w:val="21"/>
          <w:szCs w:val="22"/>
          <w:lang w:val="en-US" w:eastAsia="zh-CN" w:bidi="ar-SA"/>
        </w:rPr>
        <w:pict>
          <v:rect id="Rectangle 1076" o:spid="_x0000_s1028" style="position:absolute;left:0;margin-left:-24.45pt;margin-top:375pt;height:129.55pt;width:135.25pt;rotation:0f;z-index:2516981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1、无故拖延案件办理</w:t>
                  </w:r>
                  <w:r>
                    <w:rPr>
                      <w:rFonts w:hint="eastAsia"/>
                      <w:sz w:val="18"/>
                      <w:szCs w:val="18"/>
                      <w:lang w:eastAsia="zh-CN"/>
                    </w:rPr>
                    <w:t>；</w:t>
                  </w:r>
                </w:p>
                <w:p>
                  <w:pPr>
                    <w:rPr>
                      <w:sz w:val="18"/>
                      <w:szCs w:val="18"/>
                    </w:rPr>
                  </w:pPr>
                  <w:r>
                    <w:rPr>
                      <w:rFonts w:hint="eastAsia"/>
                      <w:sz w:val="18"/>
                      <w:szCs w:val="18"/>
                    </w:rPr>
                    <w:t>2、利用职务便利接受贿赂为当事人谋利益</w:t>
                  </w:r>
                  <w:r>
                    <w:rPr>
                      <w:rFonts w:hint="eastAsia"/>
                      <w:sz w:val="18"/>
                      <w:szCs w:val="18"/>
                      <w:lang w:eastAsia="zh-CN"/>
                    </w:rPr>
                    <w:t>；</w:t>
                  </w:r>
                </w:p>
                <w:p>
                  <w:pPr>
                    <w:rPr>
                      <w:sz w:val="18"/>
                      <w:szCs w:val="18"/>
                    </w:rPr>
                  </w:pPr>
                  <w:r>
                    <w:rPr>
                      <w:rFonts w:hint="eastAsia"/>
                      <w:sz w:val="18"/>
                      <w:szCs w:val="18"/>
                    </w:rPr>
                    <w:t>3、随意行使自由裁量权</w:t>
                  </w:r>
                  <w:r>
                    <w:rPr>
                      <w:rFonts w:hint="eastAsia"/>
                      <w:sz w:val="18"/>
                      <w:szCs w:val="18"/>
                      <w:lang w:eastAsia="zh-CN"/>
                    </w:rPr>
                    <w:t>；</w:t>
                  </w:r>
                </w:p>
                <w:p>
                  <w:pPr>
                    <w:rPr>
                      <w:sz w:val="18"/>
                      <w:szCs w:val="18"/>
                    </w:rPr>
                  </w:pPr>
                  <w:r>
                    <w:rPr>
                      <w:rFonts w:hint="eastAsia"/>
                      <w:sz w:val="18"/>
                      <w:szCs w:val="18"/>
                    </w:rPr>
                    <w:t>4、法律法规适用错误</w:t>
                  </w:r>
                  <w:r>
                    <w:rPr>
                      <w:rFonts w:hint="eastAsia"/>
                      <w:sz w:val="18"/>
                      <w:szCs w:val="18"/>
                      <w:lang w:eastAsia="zh-CN"/>
                    </w:rPr>
                    <w:t>；</w:t>
                  </w:r>
                </w:p>
                <w:p>
                  <w:pPr>
                    <w:rPr>
                      <w:sz w:val="18"/>
                      <w:szCs w:val="18"/>
                    </w:rPr>
                  </w:pPr>
                  <w:r>
                    <w:rPr>
                      <w:rFonts w:hint="eastAsia"/>
                      <w:sz w:val="18"/>
                      <w:szCs w:val="18"/>
                    </w:rPr>
                    <w:t>5、不经案审会审理</w:t>
                  </w:r>
                  <w:r>
                    <w:rPr>
                      <w:rFonts w:hint="eastAsia"/>
                      <w:sz w:val="18"/>
                      <w:szCs w:val="18"/>
                      <w:lang w:eastAsia="zh-CN"/>
                    </w:rPr>
                    <w:t>；</w:t>
                  </w:r>
                </w:p>
                <w:p>
                  <w:pPr>
                    <w:rPr>
                      <w:rFonts w:hint="eastAsia"/>
                      <w:sz w:val="18"/>
                      <w:szCs w:val="18"/>
                      <w:lang w:eastAsia="zh-CN"/>
                    </w:rPr>
                  </w:pPr>
                  <w:r>
                    <w:rPr>
                      <w:rFonts w:hint="eastAsia"/>
                      <w:sz w:val="18"/>
                      <w:szCs w:val="18"/>
                    </w:rPr>
                    <w:t>6、按规定受理申诉</w:t>
                  </w:r>
                  <w:r>
                    <w:rPr>
                      <w:rFonts w:hint="eastAsia"/>
                      <w:sz w:val="18"/>
                      <w:szCs w:val="18"/>
                      <w:lang w:eastAsia="zh-CN"/>
                    </w:rPr>
                    <w:t>。</w:t>
                  </w:r>
                </w:p>
                <w:p>
                  <w:pPr>
                    <w:rPr>
                      <w:rFonts w:hint="eastAsia"/>
                      <w:sz w:val="18"/>
                      <w:szCs w:val="18"/>
                      <w:lang w:eastAsia="zh-CN"/>
                    </w:rPr>
                  </w:pPr>
                  <w:r>
                    <w:rPr>
                      <w:rFonts w:hint="eastAsia"/>
                      <w:sz w:val="18"/>
                      <w:szCs w:val="18"/>
                      <w:lang w:eastAsia="zh-CN"/>
                    </w:rPr>
                    <w:t>风险等级：中</w:t>
                  </w:r>
                </w:p>
              </w:txbxContent>
            </v:textbox>
          </v:rect>
        </w:pict>
      </w:r>
      <w:r>
        <w:rPr>
          <w:rFonts w:ascii="Calibri" w:hAnsi="Calibri" w:eastAsia="宋体" w:cs="Times New Roman"/>
          <w:kern w:val="2"/>
          <w:sz w:val="21"/>
          <w:szCs w:val="22"/>
          <w:lang w:val="en-US" w:eastAsia="zh-CN" w:bidi="ar-SA"/>
        </w:rPr>
        <w:pict>
          <v:rect id="Rectangle 1073" o:spid="_x0000_s1029" style="position:absolute;left:0;margin-left:-29.55pt;margin-top:110.1pt;height:129.05pt;width:130.15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1、调查取证接受请托办理人情案</w:t>
                  </w:r>
                  <w:r>
                    <w:rPr>
                      <w:rFonts w:hint="eastAsia"/>
                      <w:sz w:val="18"/>
                      <w:szCs w:val="18"/>
                      <w:lang w:eastAsia="zh-CN"/>
                    </w:rPr>
                    <w:t>；</w:t>
                  </w:r>
                </w:p>
                <w:p>
                  <w:pPr>
                    <w:rPr>
                      <w:sz w:val="18"/>
                      <w:szCs w:val="18"/>
                    </w:rPr>
                  </w:pPr>
                  <w:r>
                    <w:rPr>
                      <w:rFonts w:hint="eastAsia"/>
                      <w:sz w:val="18"/>
                      <w:szCs w:val="18"/>
                    </w:rPr>
                    <w:t>2、伪造丢失损毁证据，不按规定取证，导致案件调查无法正常进行</w:t>
                  </w:r>
                  <w:r>
                    <w:rPr>
                      <w:rFonts w:hint="eastAsia"/>
                      <w:sz w:val="18"/>
                      <w:szCs w:val="18"/>
                      <w:lang w:eastAsia="zh-CN"/>
                    </w:rPr>
                    <w:t>；</w:t>
                  </w:r>
                </w:p>
                <w:p>
                  <w:pPr>
                    <w:rPr>
                      <w:rFonts w:hint="eastAsia"/>
                      <w:spacing w:val="-5"/>
                      <w:lang w:eastAsia="zh-CN"/>
                    </w:rPr>
                  </w:pPr>
                  <w:r>
                    <w:rPr>
                      <w:rFonts w:hint="eastAsia"/>
                      <w:sz w:val="18"/>
                      <w:szCs w:val="18"/>
                    </w:rPr>
                    <w:t>3、</w:t>
                  </w:r>
                  <w:r>
                    <w:rPr>
                      <w:rFonts w:hint="eastAsia"/>
                      <w:spacing w:val="-5"/>
                      <w:sz w:val="18"/>
                      <w:szCs w:val="18"/>
                    </w:rPr>
                    <w:t>回避隐瞒调查信息擅改调查结果重要情况不如</w:t>
                  </w:r>
                  <w:r>
                    <w:rPr>
                      <w:rFonts w:hint="eastAsia"/>
                      <w:spacing w:val="-5"/>
                    </w:rPr>
                    <w:t>实汇报</w:t>
                  </w:r>
                  <w:r>
                    <w:rPr>
                      <w:rFonts w:hint="eastAsia"/>
                      <w:spacing w:val="-5"/>
                      <w:lang w:eastAsia="zh-CN"/>
                    </w:rPr>
                    <w:t>。</w:t>
                  </w:r>
                </w:p>
                <w:p>
                  <w:pPr>
                    <w:rPr>
                      <w:rFonts w:hint="eastAsia"/>
                      <w:spacing w:val="-5"/>
                      <w:lang w:eastAsia="zh-CN"/>
                    </w:rPr>
                  </w:pPr>
                  <w:r>
                    <w:rPr>
                      <w:rFonts w:hint="eastAsia"/>
                      <w:spacing w:val="-5"/>
                      <w:lang w:eastAsia="zh-CN"/>
                    </w:rPr>
                    <w:t>风险等级：高</w:t>
                  </w:r>
                </w:p>
              </w:txbxContent>
            </v:textbox>
          </v:rect>
        </w:pict>
      </w:r>
      <w:r>
        <w:rPr>
          <w:rFonts w:ascii="Calibri" w:hAnsi="Calibri" w:eastAsia="宋体" w:cs="Times New Roman"/>
          <w:kern w:val="2"/>
          <w:sz w:val="21"/>
          <w:szCs w:val="22"/>
          <w:lang w:val="en-US" w:eastAsia="zh-CN" w:bidi="ar-SA"/>
        </w:rPr>
        <w:pict>
          <v:shape id="Flowchart: Process 1035" o:spid="_x0000_s1030" type="#_x0000_t109" style="position:absolute;left:0;margin-left:-28.45pt;margin-top:4pt;height:101.25pt;width:125.8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val="en-US"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val="en-US" w:eastAsia="zh-CN"/>
                    </w:rPr>
                    <w:t>；</w:t>
                  </w:r>
                </w:p>
                <w:p>
                  <w:pPr>
                    <w:rPr>
                      <w:rFonts w:ascii="宋体" w:hAnsi="宋体"/>
                      <w:sz w:val="18"/>
                      <w:szCs w:val="18"/>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eastAsia="宋体"/>
                      <w:sz w:val="18"/>
                      <w:szCs w:val="18"/>
                      <w:lang w:eastAsia="zh-CN"/>
                    </w:rPr>
                  </w:pPr>
                  <w:r>
                    <w:rPr>
                      <w:rFonts w:hint="eastAsia" w:ascii="宋体" w:hAnsi="宋体"/>
                      <w:sz w:val="18"/>
                      <w:szCs w:val="18"/>
                      <w:lang w:eastAsia="zh-CN"/>
                    </w:rPr>
                    <w:t>风险等级：中</w:t>
                  </w:r>
                </w:p>
              </w:txbxContent>
            </v:textbox>
          </v:shape>
        </w:pict>
      </w:r>
      <w:r>
        <w:rPr>
          <w:rFonts w:ascii="Calibri" w:hAnsi="Calibri" w:eastAsia="宋体" w:cs="Times New Roman"/>
          <w:kern w:val="2"/>
          <w:sz w:val="21"/>
          <w:szCs w:val="22"/>
          <w:lang w:val="en-US" w:eastAsia="zh-CN" w:bidi="ar-SA"/>
        </w:rPr>
        <w:pict>
          <v:shape id="Flowchart: Process 1075" o:spid="_x0000_s1031" type="#_x0000_t109" style="position:absolute;left:0;margin-left:-26.25pt;margin-top:297.1pt;height:71.25pt;width:131.25pt;rotation:0f;z-index:2516971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1、不进行告知</w:t>
                  </w:r>
                  <w:r>
                    <w:rPr>
                      <w:rFonts w:hint="eastAsia"/>
                      <w:sz w:val="18"/>
                      <w:szCs w:val="18"/>
                      <w:lang w:eastAsia="zh-CN"/>
                    </w:rPr>
                    <w:t>；</w:t>
                  </w:r>
                </w:p>
                <w:p>
                  <w:pPr>
                    <w:rPr>
                      <w:rFonts w:hint="eastAsia"/>
                      <w:sz w:val="18"/>
                      <w:szCs w:val="18"/>
                      <w:lang w:eastAsia="zh-CN"/>
                    </w:rPr>
                  </w:pPr>
                  <w:r>
                    <w:rPr>
                      <w:rFonts w:hint="eastAsia"/>
                      <w:sz w:val="18"/>
                      <w:szCs w:val="18"/>
                    </w:rPr>
                    <w:t>2、听取当事人申辩、不进行复议</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rect id="Rectangle 1078" o:spid="_x0000_s1032" style="position:absolute;left:0;margin-left:-25.4pt;margin-top:541.45pt;height:70.1pt;width:136.25pt;rotation:0f;z-index:2516992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1、随意从轻或减轻处罚</w:t>
                  </w:r>
                  <w:r>
                    <w:rPr>
                      <w:rFonts w:hint="eastAsia"/>
                      <w:sz w:val="18"/>
                      <w:szCs w:val="18"/>
                      <w:lang w:eastAsia="zh-CN"/>
                    </w:rPr>
                    <w:t>；</w:t>
                  </w:r>
                </w:p>
                <w:p>
                  <w:pPr>
                    <w:rPr>
                      <w:rFonts w:hint="eastAsia"/>
                      <w:sz w:val="18"/>
                      <w:szCs w:val="18"/>
                      <w:lang w:eastAsia="zh-CN"/>
                    </w:rPr>
                  </w:pPr>
                  <w:r>
                    <w:rPr>
                      <w:rFonts w:hint="eastAsia"/>
                      <w:sz w:val="18"/>
                      <w:szCs w:val="18"/>
                    </w:rPr>
                    <w:t>2、不依法履行重大案件处罚程序</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p/>
              </w:txbxContent>
            </v:textbox>
          </v:rect>
        </w:pict>
      </w:r>
      <w:r>
        <w:rPr>
          <w:rFonts w:ascii="Calibri" w:hAnsi="Calibri" w:eastAsia="宋体" w:cs="Times New Roman"/>
          <w:kern w:val="2"/>
          <w:sz w:val="21"/>
          <w:szCs w:val="22"/>
          <w:lang w:val="en-US" w:eastAsia="zh-CN" w:bidi="ar-SA"/>
        </w:rPr>
        <w:pict>
          <v:shape id="Flowchart: Process 1071" o:spid="_x0000_s1033" type="#_x0000_t109" style="position:absolute;left:0;margin-left:293.45pt;margin-top:585.8pt;height:98.05pt;width:201.75pt;rotation:0f;z-index:2516940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2"/>
                    </w:numPr>
                    <w:rPr>
                      <w:rFonts w:hint="eastAsia"/>
                      <w:sz w:val="18"/>
                      <w:szCs w:val="18"/>
                      <w:lang w:eastAsia="zh-CN"/>
                    </w:rPr>
                  </w:pPr>
                  <w:r>
                    <w:rPr>
                      <w:rFonts w:hint="eastAsia"/>
                      <w:sz w:val="18"/>
                      <w:szCs w:val="18"/>
                    </w:rPr>
                    <w:t>当事人确有经济困难，需要延期、分期缴纳罚款、违法所得的，由当事人提出书面申请</w:t>
                  </w:r>
                  <w:r>
                    <w:rPr>
                      <w:rFonts w:hint="eastAsia"/>
                      <w:sz w:val="18"/>
                      <w:szCs w:val="18"/>
                      <w:lang w:eastAsia="zh-CN"/>
                    </w:rPr>
                    <w:t>；</w:t>
                  </w:r>
                  <w:r>
                    <w:rPr>
                      <w:rFonts w:hint="eastAsia"/>
                      <w:sz w:val="18"/>
                      <w:szCs w:val="18"/>
                    </w:rPr>
                    <w:t>2、当事人应在自收到行政处罚决定书之日起十五日内到指定银行缴纳罚没款</w:t>
                  </w:r>
                  <w:r>
                    <w:rPr>
                      <w:rFonts w:hint="eastAsia"/>
                      <w:sz w:val="18"/>
                      <w:szCs w:val="18"/>
                      <w:lang w:eastAsia="zh-CN"/>
                    </w:rPr>
                    <w:t>；</w:t>
                  </w:r>
                  <w:r>
                    <w:rPr>
                      <w:rFonts w:hint="eastAsia"/>
                      <w:sz w:val="18"/>
                      <w:szCs w:val="18"/>
                    </w:rPr>
                    <w:t>3、依法申请人民法院强制执行</w:t>
                  </w:r>
                  <w:r>
                    <w:rPr>
                      <w:rFonts w:hint="eastAsia"/>
                      <w:sz w:val="18"/>
                      <w:szCs w:val="18"/>
                      <w:lang w:eastAsia="zh-CN"/>
                    </w:rPr>
                    <w:t>。</w:t>
                  </w:r>
                </w:p>
                <w:p>
                  <w:pPr>
                    <w:numPr>
                      <w:numId w:val="0"/>
                    </w:numPr>
                    <w:rPr>
                      <w:sz w:val="18"/>
                      <w:szCs w:val="18"/>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2" o:spid="_x0000_s1034" type="#_x0000_t109" style="position:absolute;left:0;margin-left:296.25pt;margin-top:495.45pt;height:85.5pt;width:197.2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3"/>
                    </w:numPr>
                    <w:rPr>
                      <w:rFonts w:hint="eastAsia" w:ascii="宋体" w:hAnsi="宋体" w:eastAsia="宋体" w:cs="宋体"/>
                      <w:sz w:val="18"/>
                      <w:szCs w:val="18"/>
                    </w:rPr>
                  </w:pPr>
                  <w:r>
                    <w:rPr>
                      <w:rFonts w:hint="eastAsia" w:ascii="宋体" w:hAnsi="宋体" w:eastAsia="宋体" w:cs="宋体"/>
                      <w:sz w:val="18"/>
                      <w:szCs w:val="18"/>
                    </w:rPr>
                    <w:t>行政处罚决定作出之日起七日内送达</w:t>
                  </w:r>
                  <w:r>
                    <w:rPr>
                      <w:rFonts w:hint="eastAsia" w:ascii="宋体" w:hAnsi="宋体" w:eastAsia="宋体" w:cs="宋体"/>
                      <w:sz w:val="18"/>
                      <w:szCs w:val="18"/>
                      <w:lang w:eastAsia="zh-CN"/>
                    </w:rPr>
                    <w:t>；</w:t>
                  </w:r>
                  <w:r>
                    <w:rPr>
                      <w:rFonts w:hint="eastAsia" w:ascii="宋体" w:hAnsi="宋体" w:eastAsia="宋体" w:cs="宋体"/>
                      <w:sz w:val="18"/>
                      <w:szCs w:val="18"/>
                    </w:rPr>
                    <w:t>2、送达方式直接送达、委托送达、公告送达；3、送达文书必须有送达回证；4、受送达人在送达回证上记明收到日期，签名或者盖章。</w:t>
                  </w:r>
                </w:p>
                <w:p>
                  <w:pPr>
                    <w:numPr>
                      <w:numId w:val="0"/>
                    </w:numPr>
                    <w:rPr>
                      <w:rFonts w:hint="eastAsia" w:ascii="宋体" w:hAnsi="宋体" w:eastAsia="宋体" w:cs="宋体"/>
                      <w:sz w:val="18"/>
                      <w:szCs w:val="18"/>
                    </w:rPr>
                  </w:pPr>
                  <w:r>
                    <w:rPr>
                      <w:rFonts w:hint="eastAsia" w:ascii="宋体" w:hAnsi="宋体" w:eastAsia="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1035" type="#_x0000_t109" style="position:absolute;left:0;margin-left:291.8pt;margin-top:391.1pt;height:98.8pt;width:202.05pt;rotation:0f;z-index:2516930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 的价格主管部门名称和日期</w:t>
                  </w:r>
                </w:p>
                <w:p>
                  <w:pPr>
                    <w:rPr>
                      <w:rFonts w:hint="eastAsia" w:eastAsia="宋体"/>
                      <w:sz w:val="18"/>
                      <w:szCs w:val="18"/>
                      <w:lang w:eastAsia="zh-CN"/>
                    </w:rPr>
                  </w:pPr>
                  <w:r>
                    <w:rPr>
                      <w:rFonts w:hint="eastAsia"/>
                      <w:sz w:val="18"/>
                      <w:szCs w:val="18"/>
                      <w:lang w:eastAsia="zh-CN"/>
                    </w:rPr>
                    <w:t>责任人：委领导</w:t>
                  </w:r>
                </w:p>
              </w:txbxContent>
            </v:textbox>
          </v:shape>
        </w:pict>
      </w:r>
      <w:r>
        <w:rPr>
          <w:rFonts w:ascii="Calibri" w:hAnsi="Calibri" w:eastAsia="宋体" w:cs="Times New Roman"/>
          <w:kern w:val="2"/>
          <w:sz w:val="21"/>
          <w:szCs w:val="22"/>
          <w:lang w:val="en-US" w:eastAsia="zh-CN" w:bidi="ar-SA"/>
        </w:rPr>
        <w:pict>
          <v:shape id="Flowchart: Process 1069" o:spid="_x0000_s1036" type="#_x0000_t109" style="position:absolute;left:0;margin-left:295.5pt;margin-top:302.3pt;height:84.25pt;width:194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4"/>
                    </w:numPr>
                    <w:rPr>
                      <w:rFonts w:hint="eastAsia" w:ascii="宋体" w:hAnsi="宋体" w:eastAsia="宋体" w:cs="宋体"/>
                      <w:sz w:val="18"/>
                      <w:szCs w:val="18"/>
                      <w:lang w:eastAsia="zh-CN"/>
                    </w:rPr>
                  </w:pPr>
                  <w:r>
                    <w:rPr>
                      <w:rFonts w:hint="eastAsia" w:ascii="宋体" w:hAnsi="宋体" w:eastAsia="宋体" w:cs="宋体"/>
                      <w:sz w:val="18"/>
                      <w:szCs w:val="18"/>
                    </w:rPr>
                    <w:t>书面告知当事人拟作出的行政处罚决定的事实、理由、依据及决定</w:t>
                  </w:r>
                  <w:r>
                    <w:rPr>
                      <w:rFonts w:hint="eastAsia" w:ascii="宋体" w:hAnsi="宋体" w:eastAsia="宋体" w:cs="宋体"/>
                      <w:sz w:val="18"/>
                      <w:szCs w:val="18"/>
                      <w:lang w:eastAsia="zh-CN"/>
                    </w:rPr>
                    <w:t>；</w:t>
                  </w:r>
                  <w:r>
                    <w:rPr>
                      <w:rFonts w:hint="eastAsia" w:ascii="宋体" w:hAnsi="宋体" w:eastAsia="宋体" w:cs="宋体"/>
                      <w:sz w:val="18"/>
                      <w:szCs w:val="18"/>
                    </w:rPr>
                    <w:t>2、当事人的陈述、申辩权利、听证权、退还价款一并告知</w:t>
                  </w:r>
                  <w:r>
                    <w:rPr>
                      <w:rFonts w:hint="eastAsia" w:ascii="宋体" w:hAnsi="宋体" w:eastAsia="宋体" w:cs="宋体"/>
                      <w:sz w:val="18"/>
                      <w:szCs w:val="18"/>
                      <w:lang w:eastAsia="zh-CN"/>
                    </w:rPr>
                    <w:t>；</w:t>
                  </w:r>
                  <w:r>
                    <w:rPr>
                      <w:rFonts w:hint="eastAsia" w:ascii="宋体" w:hAnsi="宋体" w:eastAsia="宋体" w:cs="宋体"/>
                      <w:sz w:val="18"/>
                      <w:szCs w:val="18"/>
                    </w:rPr>
                    <w:t>3、收到告知后三日提出，逾期未提，视为放弃</w:t>
                  </w:r>
                  <w:r>
                    <w:rPr>
                      <w:rFonts w:hint="eastAsia" w:ascii="宋体" w:hAnsi="宋体" w:eastAsia="宋体" w:cs="宋体"/>
                      <w:sz w:val="18"/>
                      <w:szCs w:val="18"/>
                      <w:lang w:eastAsia="zh-CN"/>
                    </w:rPr>
                    <w:t>。</w:t>
                  </w:r>
                </w:p>
                <w:p>
                  <w:pPr>
                    <w:numPr>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责任人：执法人员</w:t>
                  </w:r>
                </w:p>
              </w:txbxContent>
            </v:textbox>
          </v:shape>
        </w:pict>
      </w:r>
      <w:r>
        <w:rPr>
          <w:rFonts w:ascii="Calibri" w:hAnsi="Calibri" w:eastAsia="宋体" w:cs="Times New Roman"/>
          <w:kern w:val="2"/>
          <w:sz w:val="21"/>
          <w:szCs w:val="22"/>
          <w:lang w:val="en-US" w:eastAsia="zh-CN" w:bidi="ar-SA"/>
        </w:rPr>
        <w:pict>
          <v:shape id="Flowchart: Process 1068" o:spid="_x0000_s1037" type="#_x0000_t109" style="position:absolute;left:0;margin-left:295.5pt;margin-top:198.45pt;height:100.5pt;width:198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5"/>
                    </w:numPr>
                    <w:rPr>
                      <w:rFonts w:hint="eastAsia" w:ascii="宋体" w:hAnsi="宋体" w:eastAsia="宋体" w:cs="宋体"/>
                      <w:sz w:val="18"/>
                      <w:szCs w:val="18"/>
                      <w:lang w:eastAsia="zh-CN"/>
                    </w:rPr>
                  </w:pPr>
                  <w:r>
                    <w:rPr>
                      <w:rFonts w:hint="eastAsia" w:ascii="宋体" w:hAnsi="宋体" w:eastAsia="宋体" w:cs="宋体"/>
                      <w:sz w:val="18"/>
                      <w:szCs w:val="18"/>
                    </w:rPr>
                    <w:t>执行《价格行政处罚审理审查规则》</w:t>
                  </w:r>
                  <w:r>
                    <w:rPr>
                      <w:rFonts w:hint="eastAsia" w:ascii="宋体" w:hAnsi="宋体" w:eastAsia="宋体" w:cs="宋体"/>
                      <w:sz w:val="18"/>
                      <w:szCs w:val="18"/>
                      <w:lang w:eastAsia="zh-CN"/>
                    </w:rPr>
                    <w:t>；</w:t>
                  </w:r>
                  <w:r>
                    <w:rPr>
                      <w:rFonts w:hint="eastAsia" w:ascii="宋体" w:hAnsi="宋体" w:eastAsia="宋体" w:cs="宋体"/>
                      <w:sz w:val="18"/>
                      <w:szCs w:val="18"/>
                    </w:rPr>
                    <w:t>2、审理按规定由价格监督检查机构负责人召集审理会议</w:t>
                  </w:r>
                  <w:r>
                    <w:rPr>
                      <w:rFonts w:hint="eastAsia" w:ascii="宋体" w:hAnsi="宋体" w:eastAsia="宋体" w:cs="宋体"/>
                      <w:sz w:val="18"/>
                      <w:szCs w:val="18"/>
                      <w:lang w:eastAsia="zh-CN"/>
                    </w:rPr>
                    <w:t>；</w:t>
                  </w:r>
                  <w:r>
                    <w:rPr>
                      <w:rFonts w:hint="eastAsia" w:ascii="宋体" w:hAnsi="宋体" w:eastAsia="宋体" w:cs="宋体"/>
                      <w:sz w:val="18"/>
                      <w:szCs w:val="18"/>
                    </w:rPr>
                    <w:t>3、审查由价格主管部门负责人进行</w:t>
                  </w:r>
                  <w:r>
                    <w:rPr>
                      <w:rFonts w:hint="eastAsia" w:ascii="宋体" w:hAnsi="宋体" w:eastAsia="宋体" w:cs="宋体"/>
                      <w:sz w:val="18"/>
                      <w:szCs w:val="18"/>
                      <w:lang w:eastAsia="zh-CN"/>
                    </w:rPr>
                    <w:t>；</w:t>
                  </w:r>
                  <w:r>
                    <w:rPr>
                      <w:rFonts w:hint="eastAsia" w:ascii="宋体" w:hAnsi="宋体" w:eastAsia="宋体" w:cs="宋体"/>
                      <w:sz w:val="18"/>
                      <w:szCs w:val="18"/>
                    </w:rPr>
                    <w:t>4、自由裁量按《规范价格行政处罚权的若干规定》        审理责任人：</w:t>
                  </w:r>
                  <w:r>
                    <w:rPr>
                      <w:rFonts w:hint="eastAsia" w:ascii="宋体" w:hAnsi="宋体" w:eastAsia="宋体" w:cs="宋体"/>
                      <w:sz w:val="18"/>
                      <w:szCs w:val="18"/>
                      <w:lang w:eastAsia="zh-CN"/>
                    </w:rPr>
                    <w:t>检查</w:t>
                  </w:r>
                  <w:r>
                    <w:rPr>
                      <w:rFonts w:hint="eastAsia" w:ascii="宋体" w:hAnsi="宋体" w:eastAsia="宋体" w:cs="宋体"/>
                      <w:sz w:val="18"/>
                      <w:szCs w:val="18"/>
                    </w:rPr>
                    <w:t>分局</w:t>
                  </w:r>
                  <w:r>
                    <w:rPr>
                      <w:rFonts w:hint="eastAsia" w:ascii="宋体" w:hAnsi="宋体" w:eastAsia="宋体" w:cs="宋体"/>
                      <w:sz w:val="18"/>
                      <w:szCs w:val="18"/>
                      <w:lang w:eastAsia="zh-CN"/>
                    </w:rPr>
                    <w:t>负责人</w:t>
                  </w:r>
                </w:p>
                <w:p>
                  <w:pPr>
                    <w:numPr>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审查责任人：分管领导和委领导</w:t>
                  </w:r>
                </w:p>
              </w:txbxContent>
            </v:textbox>
          </v:shape>
        </w:pict>
      </w:r>
      <w:r>
        <w:rPr>
          <w:rFonts w:ascii="Calibri" w:hAnsi="Calibri" w:eastAsia="宋体" w:cs="Times New Roman"/>
          <w:kern w:val="2"/>
          <w:sz w:val="21"/>
          <w:szCs w:val="22"/>
          <w:lang w:val="en-US" w:eastAsia="zh-CN" w:bidi="ar-SA"/>
        </w:rPr>
        <w:pict>
          <v:shape id="Flowchart: Process 1067" o:spid="_x0000_s1038" type="#_x0000_t109" style="position:absolute;left:0;margin-left:289.5pt;margin-top:84.5pt;height:99.95pt;width:210.75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6"/>
                    </w:numPr>
                    <w:rPr>
                      <w:rFonts w:hint="eastAsia" w:ascii="宋体" w:hAnsi="宋体" w:eastAsia="宋体" w:cs="宋体"/>
                      <w:sz w:val="18"/>
                      <w:szCs w:val="18"/>
                      <w:lang w:eastAsia="zh-CN"/>
                    </w:rPr>
                  </w:pPr>
                  <w:r>
                    <w:rPr>
                      <w:rFonts w:hint="eastAsia" w:ascii="宋体" w:hAnsi="宋体" w:eastAsia="宋体" w:cs="宋体"/>
                      <w:sz w:val="18"/>
                      <w:szCs w:val="18"/>
                    </w:rPr>
                    <w:t>执法人员两人以上；出示执法证件、告知申请回避的条件</w:t>
                  </w:r>
                  <w:r>
                    <w:rPr>
                      <w:rFonts w:hint="eastAsia" w:ascii="宋体" w:hAnsi="宋体" w:eastAsia="宋体" w:cs="宋体"/>
                      <w:sz w:val="18"/>
                      <w:szCs w:val="18"/>
                      <w:lang w:eastAsia="zh-CN"/>
                    </w:rPr>
                    <w:t>；</w:t>
                  </w:r>
                  <w:r>
                    <w:rPr>
                      <w:rFonts w:hint="eastAsia" w:ascii="宋体" w:hAnsi="宋体" w:eastAsia="宋体" w:cs="宋体"/>
                      <w:sz w:val="18"/>
                      <w:szCs w:val="18"/>
                    </w:rPr>
                    <w:t>2、证据种类包括：书证、物证、视听资料、电子数据、证人证言等</w:t>
                  </w:r>
                  <w:r>
                    <w:rPr>
                      <w:rFonts w:hint="eastAsia" w:ascii="宋体" w:hAnsi="宋体" w:eastAsia="宋体" w:cs="宋体"/>
                      <w:sz w:val="18"/>
                      <w:szCs w:val="18"/>
                      <w:lang w:eastAsia="zh-CN"/>
                    </w:rPr>
                    <w:t>；</w:t>
                  </w:r>
                  <w:r>
                    <w:rPr>
                      <w:rFonts w:hint="eastAsia" w:ascii="宋体" w:hAnsi="宋体" w:eastAsia="宋体" w:cs="宋体"/>
                      <w:sz w:val="18"/>
                      <w:szCs w:val="18"/>
                    </w:rPr>
                    <w:t>3、提取证据采取录音、录像、拍照等方式</w:t>
                  </w:r>
                  <w:r>
                    <w:rPr>
                      <w:rFonts w:hint="eastAsia" w:ascii="宋体" w:hAnsi="宋体" w:eastAsia="宋体" w:cs="宋体"/>
                      <w:sz w:val="18"/>
                      <w:szCs w:val="18"/>
                      <w:lang w:eastAsia="zh-CN"/>
                    </w:rPr>
                    <w:t>；</w:t>
                  </w:r>
                  <w:r>
                    <w:rPr>
                      <w:rFonts w:hint="eastAsia" w:ascii="宋体" w:hAnsi="宋体" w:eastAsia="宋体" w:cs="宋体"/>
                      <w:sz w:val="18"/>
                      <w:szCs w:val="18"/>
                    </w:rPr>
                    <w:t>4、依据《价格法》三十四条第（三）项规定责令其暂停相关营业</w:t>
                  </w:r>
                  <w:r>
                    <w:rPr>
                      <w:rFonts w:hint="eastAsia" w:ascii="宋体" w:hAnsi="宋体" w:eastAsia="宋体" w:cs="宋体"/>
                      <w:sz w:val="18"/>
                      <w:szCs w:val="18"/>
                      <w:lang w:eastAsia="zh-CN"/>
                    </w:rPr>
                    <w:t>。</w:t>
                  </w:r>
                </w:p>
                <w:p>
                  <w:pPr>
                    <w:numPr>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责任人：执法人员</w:t>
                  </w:r>
                </w:p>
                <w:p>
                  <w:pPr>
                    <w:rPr>
                      <w:rFonts w:hint="eastAsia" w:ascii="宋体" w:hAnsi="宋体" w:eastAsia="宋体" w:cs="宋体"/>
                      <w:sz w:val="18"/>
                      <w:szCs w:val="18"/>
                    </w:rPr>
                  </w:pPr>
                </w:p>
              </w:txbxContent>
            </v:textbox>
          </v:shape>
        </w:pict>
      </w:r>
      <w:r>
        <w:rPr>
          <w:rFonts w:ascii="Calibri" w:hAnsi="Calibri" w:eastAsia="宋体" w:cs="Times New Roman"/>
          <w:kern w:val="2"/>
          <w:sz w:val="21"/>
          <w:szCs w:val="22"/>
          <w:lang w:val="en-US" w:eastAsia="zh-CN" w:bidi="ar-SA"/>
        </w:rPr>
        <w:pict>
          <v:shape id="Quad Arrow 1093" o:spid="_x0000_s1039" type="#_x0000_t202" style="position:absolute;left:0;margin-left:229.5pt;margin-top:551.7pt;height:20.3pt;width:59.55pt;rotation:0f;z-index:25171046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1040" type="#_x0000_t34" style="position:absolute;left:0;margin-left:232.15pt;margin-top:569.7pt;height:56.25pt;width:59.6pt;rotation:0f;z-index:251711488;"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1041" type="#_x0000_t32" style="position:absolute;left:0;margin-left:229.5pt;margin-top:426.6pt;height:0.05pt;width:61.5pt;rotation:0f;z-index:25168281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1042" type="#_x0000_t202" style="position:absolute;left:0;margin-left:232.15pt;margin-top:403.7pt;height:139.55pt;width:57.75pt;rotation:0f;z-index:251702272;"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65" o:spid="_x0000_s1043" type="#_x0000_t202" style="position:absolute;left:0;margin-left:229.5pt;margin-top:133.25pt;height:31.2pt;width:59.95pt;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1044" type="#_x0000_t32" style="position:absolute;left:0;margin-left:231.05pt;margin-top:66.2pt;height:0.05pt;width:59.9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1045" type="#_x0000_t202" style="position:absolute;left:0;margin-left:231.05pt;margin-top:48.15pt;height:25.8pt;width:58.85pt;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1046" type="#_x0000_t32" style="position:absolute;left:0;flip:x;margin-left:111pt;margin-top:575pt;height:0.05pt;width:51.25pt;rotation:0f;z-index:2516848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1047" type="#_x0000_t202" style="position:absolute;left:0;margin-left:111.25pt;margin-top:551.7pt;height:30.9pt;width:49.75pt;rotation:0f;z-index:25170841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1048" type="#_x0000_t109" style="position:absolute;left:0;margin-left:160.15pt;margin-top:551.7pt;height:24.05pt;width:72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1049" type="#_x0000_t202" style="position:absolute;left:0;margin-left:117.75pt;margin-top:409pt;height:30.9pt;width:48.75pt;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1050" type="#_x0000_t32" style="position:absolute;left:0;flip:x;margin-left:111.25pt;margin-top:426.45pt;height:0.05pt;width:50.75pt;rotation:0f;z-index:2516838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6" o:spid="_x0000_s1051" type="#_x0000_t32" style="position:absolute;left:0;flip:x;margin-left:105pt;margin-top:339.45pt;height:0.1pt;width:58.9pt;rotation:0f;z-index:25168179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1052" type="#_x0000_t202" style="position:absolute;left:0;margin-left:111pt;margin-top:319.95pt;height:139.55pt;width:51pt;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1053" type="#_x0000_t32" style="position:absolute;left:0;flip:x;margin-left:100.5pt;margin-top:154.65pt;height:0.75pt;width:63.4pt;rotation:0f;z-index:25167974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1054" type="#_x0000_t202" style="position:absolute;left:0;margin-left:113.9pt;margin-top:133.25pt;height:22.9pt;width:52.6pt;rotation:0f;z-index:25170534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1055" type="#_x0000_t32" style="position:absolute;left:0;flip:x;margin-left:96.65pt;margin-top:73.95pt;height:0.05pt;width:69.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1056" type="#_x0000_t202" style="position:absolute;left:0;margin-left:111pt;margin-top:55.2pt;height:23.25pt;width:51pt;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1057" type="#_x0000_t202" style="position:absolute;left:0;margin-left:236.65pt;margin-top:474.8pt;height:30.4pt;width:58.85pt;rotation:0f;z-index:25170944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1058" type="#_x0000_t32" style="position:absolute;left:0;margin-left:201.8pt;margin-top:579.5pt;height:50.95pt;width:0.05pt;rotation:0f;z-index:2516858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1059" type="#_x0000_t32" style="position:absolute;left:0;flip:x;margin-left:201.8pt;margin-top:505.2pt;height:50.25pt;width:1.45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1060" type="#_x0000_t34" style="position:absolute;left:0;margin-left:234pt;margin-top:496.95pt;height:54.75pt;width:61.5pt;rotation:0f;z-index:251703296;"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1061" type="#_x0000_t109" style="position:absolute;left:0;margin-left:162pt;margin-top:477.45pt;height:27.75pt;width:72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1062" type="#_x0000_t32" style="position:absolute;left:0;margin-left:196.8pt;margin-top:434.1pt;height:43.3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1063" type="#_x0000_t109" style="position:absolute;left:0;margin-left:162pt;margin-top:409.95pt;height:24.15pt;width:68.2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1064" type="#_x0000_t32" style="position:absolute;left:0;margin-left:196.75pt;margin-top:350.7pt;height:59.2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1065" type="#_x0000_t109" style="position:absolute;left:0;margin-left:162pt;margin-top:327.45pt;height:23.25pt;width:68.2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1066" type="#_x0000_t32" style="position:absolute;left:0;flip:x;margin-left:196.3pt;margin-top:279.45pt;height:48pt;width:0.4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1067" type="#_x0000_t109" style="position:absolute;left:0;margin-left:163.9pt;margin-top:251.7pt;height:27.75pt;width:66.3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1068" type="#_x0000_t32" style="position:absolute;left:0;flip:x;margin-left:196.25pt;margin-top:164.4pt;height:87.3pt;width: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1069" type="#_x0000_t109" style="position:absolute;left:0;margin-left:163.9pt;margin-top:140.25pt;height:24.15pt;width:68.2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1070" type="#_x0000_t32" style="position:absolute;left:0;margin-left:195.8pt;margin-top:84.45pt;height:55.8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1071" type="#_x0000_t109" style="position:absolute;left:0;margin-left:166.5pt;margin-top:57.15pt;height:27.3pt;width:63.7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1072" type="#_x0000_t202" style="position:absolute;left:0;margin-left:229.5pt;margin-top:319.95pt;height:24.9pt;width:61.5pt;rotation:0f;z-index:251701248;"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1073" type="#_x0000_t202" style="position:absolute;left:0;margin-left:234.75pt;margin-top:245.7pt;height:26.25pt;width:57pt;rotation:0f;z-index:25170022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50" o:spid="_x0000_s1074" type="#_x0000_t32" style="position:absolute;left:0;margin-left:232.15pt;margin-top:155.4pt;height:0.75pt;width:57.75pt;rotation:0f;z-index:25167872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1075" type="#_x0000_t32" style="position:absolute;left:0;margin-left:230.25pt;margin-top:339.5pt;height:0.05pt;width:65.25pt;rotation:0f;z-index:25168076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1076" type="#_x0000_t32" style="position:absolute;left:0;margin-left:230.25pt;margin-top:268.2pt;height:0.05pt;width:65.25pt;rotation:0f;z-index:2516889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1077" type="#_x0000_t32" style="position:absolute;left:0;margin-left:195.7pt;margin-top:7.65pt;height:4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1078" type="#_x0000_t116" style="position:absolute;left:0;margin-left:152.25pt;margin-top:625.95pt;height:27pt;width:99.75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 xml:space="preserve">     结案</w:t>
                  </w:r>
                </w:p>
                <w:p/>
              </w:txbxContent>
            </v:textbox>
          </v:shape>
        </w:pict>
      </w:r>
    </w:p>
    <w:sectPr>
      <w:pgSz w:w="11906" w:h="16838"/>
      <w:pgMar w:top="720" w:right="227" w:bottom="72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4271732">
    <w:nsid w:val="5615D674"/>
    <w:multiLevelType w:val="singleLevel"/>
    <w:tmpl w:val="5615D674"/>
    <w:lvl w:ilvl="0" w:tentative="1">
      <w:start w:val="1"/>
      <w:numFmt w:val="decimal"/>
      <w:suff w:val="nothing"/>
      <w:lvlText w:val="%1、"/>
      <w:lvlJc w:val="left"/>
    </w:lvl>
  </w:abstractNum>
  <w:abstractNum w:abstractNumId="1444381361">
    <w:nsid w:val="561782B1"/>
    <w:multiLevelType w:val="singleLevel"/>
    <w:tmpl w:val="561782B1"/>
    <w:lvl w:ilvl="0" w:tentative="1">
      <w:start w:val="1"/>
      <w:numFmt w:val="decimal"/>
      <w:suff w:val="nothing"/>
      <w:lvlText w:val="%1、"/>
      <w:lvlJc w:val="left"/>
    </w:lvl>
  </w:abstractNum>
  <w:abstractNum w:abstractNumId="1444271875">
    <w:nsid w:val="5615D703"/>
    <w:multiLevelType w:val="singleLevel"/>
    <w:tmpl w:val="5615D703"/>
    <w:lvl w:ilvl="0" w:tentative="1">
      <w:start w:val="1"/>
      <w:numFmt w:val="decimal"/>
      <w:suff w:val="nothing"/>
      <w:lvlText w:val="%1、"/>
      <w:lvlJc w:val="left"/>
    </w:lvl>
  </w:abstractNum>
  <w:abstractNum w:abstractNumId="1444271941">
    <w:nsid w:val="5615D745"/>
    <w:multiLevelType w:val="singleLevel"/>
    <w:tmpl w:val="5615D745"/>
    <w:lvl w:ilvl="0" w:tentative="1">
      <w:start w:val="1"/>
      <w:numFmt w:val="decimal"/>
      <w:suff w:val="nothing"/>
      <w:lvlText w:val="%1、"/>
      <w:lvlJc w:val="left"/>
    </w:lvl>
  </w:abstractNum>
  <w:abstractNum w:abstractNumId="1444271817">
    <w:nsid w:val="5615D6C9"/>
    <w:multiLevelType w:val="singleLevel"/>
    <w:tmpl w:val="5615D6C9"/>
    <w:lvl w:ilvl="0" w:tentative="1">
      <w:start w:val="1"/>
      <w:numFmt w:val="decimal"/>
      <w:suff w:val="nothing"/>
      <w:lvlText w:val="%1、"/>
      <w:lvlJc w:val="left"/>
    </w:lvl>
  </w:abstractNum>
  <w:abstractNum w:abstractNumId="1444271638">
    <w:nsid w:val="5615D616"/>
    <w:multiLevelType w:val="singleLevel"/>
    <w:tmpl w:val="5615D616"/>
    <w:lvl w:ilvl="0" w:tentative="1">
      <w:start w:val="1"/>
      <w:numFmt w:val="decimal"/>
      <w:suff w:val="nothing"/>
      <w:lvlText w:val="%1、"/>
      <w:lvlJc w:val="left"/>
    </w:lvl>
  </w:abstractNum>
  <w:num w:numId="1">
    <w:abstractNumId w:val="1444271638"/>
  </w:num>
  <w:num w:numId="2">
    <w:abstractNumId w:val="1444381361"/>
  </w:num>
  <w:num w:numId="3">
    <w:abstractNumId w:val="1444271941"/>
  </w:num>
  <w:num w:numId="4">
    <w:abstractNumId w:val="1444271875"/>
  </w:num>
  <w:num w:numId="5">
    <w:abstractNumId w:val="1444271817"/>
  </w:num>
  <w:num w:numId="6">
    <w:abstractNumId w:val="14442717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25BE1CAE"/>
    <w:rsid w:val="40CA245A"/>
    <w:rsid w:val="414C4FB1"/>
    <w:rsid w:val="43B84329"/>
    <w:rsid w:val="44E01C48"/>
    <w:rsid w:val="46717855"/>
    <w:rsid w:val="53EB769D"/>
    <w:rsid w:val="644E6799"/>
    <w:rsid w:val="680C0F4A"/>
    <w:rsid w:val="6CD30EB7"/>
    <w:rsid w:val="7AD0008F"/>
    <w:rsid w:val="7C675CA0"/>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2015-09-25T02:53:00Z</cp:lastPrinted>
  <dcterms:modified xsi:type="dcterms:W3CDTF">2015-10-10T02:19:49Z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