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  <w:b/>
          <w:kern w:val="0"/>
          <w:sz w:val="36"/>
          <w:szCs w:val="36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kern w:val="0"/>
          <w:sz w:val="36"/>
          <w:szCs w:val="36"/>
          <w:bdr w:val="none" w:color="auto" w:sz="0" w:space="0"/>
          <w:lang w:val="en-US" w:eastAsia="zh-CN" w:bidi="ar"/>
        </w:rPr>
        <w:t>运城市免征小微企业行政事业性收费项目目录清单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  <w:b/>
          <w:kern w:val="0"/>
          <w:sz w:val="36"/>
          <w:szCs w:val="36"/>
          <w:bdr w:val="none" w:color="auto" w:sz="0" w:space="0"/>
          <w:lang w:val="en-US" w:eastAsia="zh-CN" w:bidi="ar"/>
        </w:rPr>
      </w:pPr>
      <w:bookmarkStart w:id="0" w:name="_GoBack"/>
      <w:bookmarkEnd w:id="0"/>
    </w:p>
    <w:tbl>
      <w:tblPr>
        <w:tblW w:w="895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362"/>
        <w:gridCol w:w="1602"/>
        <w:gridCol w:w="1078"/>
        <w:gridCol w:w="2021"/>
        <w:gridCol w:w="22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3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部门</w:t>
            </w:r>
          </w:p>
        </w:tc>
        <w:tc>
          <w:tcPr>
            <w:tcW w:w="16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10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减免条件</w:t>
            </w:r>
          </w:p>
        </w:tc>
        <w:tc>
          <w:tcPr>
            <w:tcW w:w="2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减免期限</w:t>
            </w:r>
          </w:p>
        </w:tc>
        <w:tc>
          <w:tcPr>
            <w:tcW w:w="22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政策依据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一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国土资源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1、不动产登记费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小微企业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2016年7月12日起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财税[2016]79号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二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农业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2、渔业资源增殖保护费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小微企业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2015年1月1日起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财税[2014]101号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三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食品药品监督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2015年1月1日起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财税[2014]101号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3. 药品注册费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  (1)新药注册费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小微企业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2015年4月21日起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财税[2015]2号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4.医疗器械产品注册费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  (1)首次注册费（申请创新医疗产品注册）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小微企业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2015年4月21日起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财税[2015]2号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四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知识产权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5.专利收费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小微企业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2016年9月1日起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财税[2016]78号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4332"/>
    <w:rsid w:val="03F943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B2B2B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2B2B2B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市发展和改革委员会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2017-10-09T02:41:00Z</dcterms:created>
  <dc:creator>Administrator</dc:creator>
  <cp:lastModifiedBy>Administrator</cp:lastModifiedBy>
  <dcterms:modified xsi:type="dcterms:W3CDTF">2017-10-09T02:41:21Z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